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word/embeddings/oleObject12.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18" w:rsidRPr="00D47953" w:rsidRDefault="00FD3BDF" w:rsidP="00FE6218">
      <w:pPr>
        <w:pStyle w:val="SPIEpapertitle"/>
        <w:rPr>
          <w:i/>
        </w:rPr>
      </w:pPr>
      <w:r w:rsidRPr="00D47953">
        <w:t>Dynamic Interrogation of Long Period Gratings with Modulated Fibre Bragg Gratings</w:t>
      </w:r>
      <w:r w:rsidR="00923481" w:rsidRPr="00D47953">
        <w:t xml:space="preserve"> </w:t>
      </w:r>
    </w:p>
    <w:p w:rsidR="00FE6218" w:rsidRPr="00D47953" w:rsidRDefault="00FE6218" w:rsidP="00FE6218">
      <w:pPr>
        <w:pStyle w:val="BodyofPaper"/>
      </w:pPr>
    </w:p>
    <w:p w:rsidR="000C57F8" w:rsidRPr="00C53C6F" w:rsidRDefault="000C57F8" w:rsidP="006023C7">
      <w:pPr>
        <w:pStyle w:val="SPIEAuthors-Affils"/>
        <w:rPr>
          <w:sz w:val="22"/>
          <w:szCs w:val="22"/>
          <w:vertAlign w:val="superscript"/>
          <w:lang w:val="pt-PT"/>
        </w:rPr>
      </w:pPr>
      <w:r w:rsidRPr="00D47953">
        <w:rPr>
          <w:sz w:val="22"/>
          <w:szCs w:val="22"/>
          <w:lang w:val="pt-PT"/>
        </w:rPr>
        <w:t>J. P. Carvalho</w:t>
      </w:r>
      <w:r w:rsidR="00285B28" w:rsidRPr="00D47953">
        <w:rPr>
          <w:sz w:val="22"/>
          <w:szCs w:val="22"/>
          <w:vertAlign w:val="superscript"/>
          <w:lang w:val="pt-PT"/>
        </w:rPr>
        <w:t>a</w:t>
      </w:r>
      <w:r w:rsidRPr="00D47953">
        <w:rPr>
          <w:sz w:val="22"/>
          <w:szCs w:val="22"/>
          <w:vertAlign w:val="superscript"/>
          <w:lang w:val="pt-PT"/>
        </w:rPr>
        <w:t>,b</w:t>
      </w:r>
      <w:r w:rsidR="00285B28" w:rsidRPr="00D47953">
        <w:rPr>
          <w:sz w:val="22"/>
          <w:szCs w:val="22"/>
          <w:lang w:val="pt-PT"/>
        </w:rPr>
        <w:t>,</w:t>
      </w:r>
      <w:r w:rsidR="000064C8" w:rsidRPr="00D47953">
        <w:rPr>
          <w:sz w:val="22"/>
          <w:szCs w:val="22"/>
          <w:lang w:val="pt-PT"/>
        </w:rPr>
        <w:t xml:space="preserve"> L. Coelho</w:t>
      </w:r>
      <w:r w:rsidR="000064C8" w:rsidRPr="00D47953">
        <w:rPr>
          <w:sz w:val="22"/>
          <w:szCs w:val="22"/>
          <w:vertAlign w:val="superscript"/>
          <w:lang w:val="pt-PT"/>
        </w:rPr>
        <w:t>a</w:t>
      </w:r>
      <w:r w:rsidR="000064C8" w:rsidRPr="00D47953">
        <w:rPr>
          <w:sz w:val="22"/>
          <w:szCs w:val="22"/>
          <w:lang w:val="pt-PT"/>
        </w:rPr>
        <w:t xml:space="preserve">, </w:t>
      </w:r>
      <w:r w:rsidRPr="00D47953">
        <w:rPr>
          <w:sz w:val="22"/>
          <w:szCs w:val="22"/>
          <w:lang w:val="pt-PT"/>
        </w:rPr>
        <w:t>L</w:t>
      </w:r>
      <w:r w:rsidR="00851981" w:rsidRPr="00D47953">
        <w:rPr>
          <w:sz w:val="22"/>
          <w:szCs w:val="22"/>
          <w:lang w:val="pt-PT"/>
        </w:rPr>
        <w:t xml:space="preserve">. </w:t>
      </w:r>
      <w:r w:rsidR="00851981" w:rsidRPr="00C53C6F">
        <w:rPr>
          <w:sz w:val="22"/>
          <w:szCs w:val="22"/>
          <w:lang w:val="pt-PT"/>
        </w:rPr>
        <w:t>Correia</w:t>
      </w:r>
      <w:r w:rsidRPr="00C53C6F">
        <w:rPr>
          <w:sz w:val="22"/>
          <w:szCs w:val="22"/>
          <w:vertAlign w:val="superscript"/>
          <w:lang w:val="pt-PT"/>
        </w:rPr>
        <w:t>c</w:t>
      </w:r>
      <w:r w:rsidRPr="00C53C6F">
        <w:rPr>
          <w:sz w:val="22"/>
          <w:szCs w:val="22"/>
          <w:lang w:val="pt-PT"/>
        </w:rPr>
        <w:t xml:space="preserve">, </w:t>
      </w:r>
      <w:r w:rsidR="00285B28" w:rsidRPr="00C53C6F">
        <w:rPr>
          <w:sz w:val="22"/>
          <w:szCs w:val="22"/>
          <w:lang w:val="pt-PT"/>
        </w:rPr>
        <w:t>O. Frazão</w:t>
      </w:r>
      <w:r w:rsidR="00285B28" w:rsidRPr="00C53C6F">
        <w:rPr>
          <w:sz w:val="22"/>
          <w:szCs w:val="22"/>
          <w:vertAlign w:val="superscript"/>
          <w:lang w:val="pt-PT"/>
        </w:rPr>
        <w:t>a</w:t>
      </w:r>
      <w:r w:rsidR="00285B28" w:rsidRPr="00C53C6F">
        <w:rPr>
          <w:sz w:val="22"/>
          <w:szCs w:val="22"/>
          <w:lang w:val="pt-PT"/>
        </w:rPr>
        <w:t>,</w:t>
      </w:r>
      <w:r w:rsidRPr="00C53C6F">
        <w:rPr>
          <w:sz w:val="22"/>
          <w:szCs w:val="22"/>
          <w:lang w:val="pt-PT"/>
        </w:rPr>
        <w:t xml:space="preserve"> P. A. S. Jorge</w:t>
      </w:r>
      <w:r w:rsidRPr="00C53C6F">
        <w:rPr>
          <w:sz w:val="22"/>
          <w:szCs w:val="22"/>
          <w:vertAlign w:val="superscript"/>
          <w:lang w:val="pt-PT"/>
        </w:rPr>
        <w:t>a</w:t>
      </w:r>
      <w:r w:rsidRPr="00C53C6F">
        <w:rPr>
          <w:sz w:val="22"/>
          <w:szCs w:val="22"/>
          <w:lang w:val="pt-PT"/>
        </w:rPr>
        <w:t>, J. M. Baptista</w:t>
      </w:r>
      <w:r w:rsidRPr="00C53C6F">
        <w:rPr>
          <w:sz w:val="22"/>
          <w:szCs w:val="22"/>
          <w:vertAlign w:val="superscript"/>
          <w:lang w:val="pt-PT"/>
        </w:rPr>
        <w:t>a,</w:t>
      </w:r>
      <w:r w:rsidR="000C59FC" w:rsidRPr="00C53C6F">
        <w:rPr>
          <w:sz w:val="22"/>
          <w:szCs w:val="22"/>
          <w:vertAlign w:val="superscript"/>
          <w:lang w:val="pt-PT"/>
        </w:rPr>
        <w:t>d</w:t>
      </w:r>
      <w:r w:rsidRPr="00C53C6F">
        <w:rPr>
          <w:sz w:val="22"/>
          <w:szCs w:val="22"/>
          <w:lang w:val="pt-PT"/>
        </w:rPr>
        <w:t>, I. Dias</w:t>
      </w:r>
      <w:r w:rsidRPr="00C53C6F">
        <w:rPr>
          <w:sz w:val="22"/>
          <w:szCs w:val="22"/>
          <w:vertAlign w:val="superscript"/>
          <w:lang w:val="pt-PT"/>
        </w:rPr>
        <w:t>a</w:t>
      </w:r>
      <w:r w:rsidRPr="00C53C6F">
        <w:rPr>
          <w:sz w:val="22"/>
          <w:szCs w:val="22"/>
          <w:lang w:val="pt-PT"/>
        </w:rPr>
        <w:t>, J. L. Santos</w:t>
      </w:r>
      <w:r w:rsidRPr="00C53C6F">
        <w:rPr>
          <w:sz w:val="22"/>
          <w:szCs w:val="22"/>
          <w:vertAlign w:val="superscript"/>
          <w:lang w:val="pt-PT"/>
        </w:rPr>
        <w:t>a,b</w:t>
      </w:r>
      <w:r w:rsidRPr="00C53C6F">
        <w:rPr>
          <w:sz w:val="22"/>
          <w:szCs w:val="22"/>
          <w:lang w:val="pt-PT"/>
        </w:rPr>
        <w:t xml:space="preserve">, </w:t>
      </w:r>
      <w:r w:rsidR="00FD3BDF" w:rsidRPr="00C53C6F">
        <w:rPr>
          <w:sz w:val="22"/>
          <w:szCs w:val="22"/>
          <w:lang w:val="pt-PT"/>
        </w:rPr>
        <w:t>J. Weyl</w:t>
      </w:r>
      <w:r w:rsidR="00FD3BDF" w:rsidRPr="00C53C6F">
        <w:rPr>
          <w:vertAlign w:val="superscript"/>
          <w:lang w:val="pt-PT"/>
        </w:rPr>
        <w:t>e</w:t>
      </w:r>
      <w:r w:rsidR="00FD3BDF" w:rsidRPr="00C53C6F">
        <w:rPr>
          <w:lang w:val="pt-PT"/>
        </w:rPr>
        <w:t>,</w:t>
      </w:r>
      <w:r w:rsidR="00FD3BDF" w:rsidRPr="00C53C6F">
        <w:rPr>
          <w:sz w:val="22"/>
          <w:szCs w:val="22"/>
          <w:lang w:val="pt-PT"/>
        </w:rPr>
        <w:t xml:space="preserve"> </w:t>
      </w:r>
      <w:r w:rsidRPr="00C53C6F">
        <w:rPr>
          <w:sz w:val="22"/>
          <w:szCs w:val="22"/>
          <w:lang w:val="pt-PT"/>
        </w:rPr>
        <w:t>M</w:t>
      </w:r>
      <w:r w:rsidR="000C59FC" w:rsidRPr="00C53C6F">
        <w:rPr>
          <w:sz w:val="22"/>
          <w:szCs w:val="22"/>
          <w:lang w:val="pt-PT"/>
        </w:rPr>
        <w:t>.</w:t>
      </w:r>
      <w:r w:rsidRPr="00C53C6F">
        <w:rPr>
          <w:sz w:val="22"/>
          <w:szCs w:val="22"/>
          <w:lang w:val="pt-PT"/>
        </w:rPr>
        <w:t xml:space="preserve"> J</w:t>
      </w:r>
      <w:r w:rsidR="000C59FC" w:rsidRPr="00C53C6F">
        <w:rPr>
          <w:sz w:val="22"/>
          <w:szCs w:val="22"/>
          <w:lang w:val="pt-PT"/>
        </w:rPr>
        <w:t>. Pontes</w:t>
      </w:r>
      <w:r w:rsidR="00FD3BDF" w:rsidRPr="00C53C6F">
        <w:rPr>
          <w:sz w:val="22"/>
          <w:szCs w:val="22"/>
          <w:vertAlign w:val="superscript"/>
          <w:lang w:val="pt-PT"/>
        </w:rPr>
        <w:t>f</w:t>
      </w:r>
      <w:r w:rsidRPr="00C53C6F">
        <w:rPr>
          <w:sz w:val="22"/>
          <w:szCs w:val="22"/>
          <w:lang w:val="pt-PT"/>
        </w:rPr>
        <w:t xml:space="preserve">, </w:t>
      </w:r>
      <w:r w:rsidR="005F0407" w:rsidRPr="00C53C6F">
        <w:rPr>
          <w:sz w:val="22"/>
          <w:szCs w:val="22"/>
          <w:lang w:val="pt-PT"/>
        </w:rPr>
        <w:t>M. A. Martinez</w:t>
      </w:r>
      <w:r w:rsidR="005F0407" w:rsidRPr="00C53C6F">
        <w:rPr>
          <w:sz w:val="22"/>
          <w:szCs w:val="22"/>
          <w:vertAlign w:val="superscript"/>
          <w:lang w:val="pt-PT"/>
        </w:rPr>
        <w:t>g</w:t>
      </w:r>
      <w:r w:rsidR="005F0407" w:rsidRPr="00C53C6F">
        <w:rPr>
          <w:sz w:val="22"/>
          <w:szCs w:val="22"/>
          <w:lang w:val="pt-PT"/>
        </w:rPr>
        <w:t>, A. P. Barbero</w:t>
      </w:r>
      <w:r w:rsidR="005F0407" w:rsidRPr="00C53C6F">
        <w:rPr>
          <w:sz w:val="22"/>
          <w:szCs w:val="22"/>
          <w:vertAlign w:val="superscript"/>
          <w:lang w:val="pt-PT"/>
        </w:rPr>
        <w:t>h</w:t>
      </w:r>
      <w:r w:rsidR="005F0407" w:rsidRPr="00C53C6F">
        <w:rPr>
          <w:sz w:val="22"/>
          <w:szCs w:val="22"/>
          <w:lang w:val="pt-PT"/>
        </w:rPr>
        <w:t>, R. M. Ribeiro</w:t>
      </w:r>
      <w:r w:rsidR="005F0407" w:rsidRPr="00C53C6F">
        <w:rPr>
          <w:sz w:val="22"/>
          <w:szCs w:val="22"/>
          <w:vertAlign w:val="superscript"/>
          <w:lang w:val="pt-PT"/>
        </w:rPr>
        <w:t>h</w:t>
      </w:r>
      <w:r w:rsidR="005F0407" w:rsidRPr="00C53C6F">
        <w:rPr>
          <w:sz w:val="22"/>
          <w:szCs w:val="22"/>
          <w:lang w:val="pt-PT"/>
        </w:rPr>
        <w:t>, A. J. G. Abelém</w:t>
      </w:r>
      <w:r w:rsidR="005F0407" w:rsidRPr="00C53C6F">
        <w:rPr>
          <w:sz w:val="22"/>
          <w:szCs w:val="22"/>
          <w:vertAlign w:val="superscript"/>
          <w:lang w:val="pt-PT"/>
        </w:rPr>
        <w:t>e</w:t>
      </w:r>
      <w:r w:rsidR="00181DC6" w:rsidRPr="00C53C6F">
        <w:rPr>
          <w:sz w:val="22"/>
          <w:szCs w:val="22"/>
          <w:lang w:val="pt-PT"/>
        </w:rPr>
        <w:t>,</w:t>
      </w:r>
      <w:r w:rsidR="00C2440B">
        <w:rPr>
          <w:sz w:val="22"/>
          <w:szCs w:val="22"/>
          <w:lang w:val="pt-PT"/>
        </w:rPr>
        <w:t xml:space="preserve"> </w:t>
      </w:r>
      <w:r w:rsidR="00181DC6" w:rsidRPr="00C53C6F">
        <w:rPr>
          <w:sz w:val="22"/>
          <w:szCs w:val="22"/>
          <w:lang w:val="pt-PT"/>
        </w:rPr>
        <w:t>M. T. R. Giraldi</w:t>
      </w:r>
      <w:r w:rsidR="00181DC6" w:rsidRPr="00C53C6F">
        <w:rPr>
          <w:sz w:val="22"/>
          <w:szCs w:val="22"/>
          <w:vertAlign w:val="superscript"/>
          <w:lang w:val="pt-PT"/>
        </w:rPr>
        <w:t>c</w:t>
      </w:r>
    </w:p>
    <w:p w:rsidR="00285B28" w:rsidRPr="00C53C6F" w:rsidRDefault="000C57F8" w:rsidP="00FD3BDF">
      <w:pPr>
        <w:pStyle w:val="SPIEAuthors-Affils"/>
        <w:spacing w:before="120"/>
        <w:rPr>
          <w:sz w:val="20"/>
          <w:lang w:val="pt-PT"/>
        </w:rPr>
      </w:pPr>
      <w:r w:rsidRPr="00C53C6F">
        <w:rPr>
          <w:sz w:val="20"/>
          <w:vertAlign w:val="superscript"/>
          <w:lang w:val="pt-PT"/>
        </w:rPr>
        <w:t>a</w:t>
      </w:r>
      <w:r w:rsidR="00285B28" w:rsidRPr="00C53C6F">
        <w:rPr>
          <w:sz w:val="20"/>
          <w:lang w:val="pt-PT"/>
        </w:rPr>
        <w:t>INESC Porto, Rua do Campo Alegre, 687, 4169-007 Porto, Portugal.</w:t>
      </w:r>
    </w:p>
    <w:p w:rsidR="000C57F8" w:rsidRPr="00C53C6F" w:rsidRDefault="000C57F8" w:rsidP="000C57F8">
      <w:pPr>
        <w:pStyle w:val="SPIEAuthors-Affils"/>
        <w:rPr>
          <w:sz w:val="20"/>
          <w:lang w:val="pt-PT"/>
        </w:rPr>
      </w:pPr>
      <w:r w:rsidRPr="00C53C6F">
        <w:rPr>
          <w:sz w:val="20"/>
          <w:vertAlign w:val="superscript"/>
          <w:lang w:val="pt-PT"/>
        </w:rPr>
        <w:t>b</w:t>
      </w:r>
      <w:r w:rsidRPr="00C53C6F">
        <w:rPr>
          <w:sz w:val="20"/>
          <w:lang w:val="pt-PT"/>
        </w:rPr>
        <w:t>Faculdade de Ciências da Universidade do Porto, Rua do Campo Alegre, 687, 4169-007 Portugal</w:t>
      </w:r>
    </w:p>
    <w:p w:rsidR="00FE6218" w:rsidRPr="00C53C6F" w:rsidRDefault="000C57F8" w:rsidP="00285B28">
      <w:pPr>
        <w:pStyle w:val="SPIEAuthors-Affils"/>
        <w:rPr>
          <w:sz w:val="20"/>
          <w:lang w:val="pt-PT"/>
        </w:rPr>
      </w:pPr>
      <w:r w:rsidRPr="00C53C6F">
        <w:rPr>
          <w:sz w:val="20"/>
          <w:vertAlign w:val="superscript"/>
          <w:lang w:val="pt-PT"/>
        </w:rPr>
        <w:t>c</w:t>
      </w:r>
      <w:r w:rsidR="00001598">
        <w:rPr>
          <w:sz w:val="20"/>
          <w:lang w:val="pt-PT"/>
        </w:rPr>
        <w:t>Dept. Eng. Elé</w:t>
      </w:r>
      <w:r w:rsidR="00001598" w:rsidRPr="00001598">
        <w:rPr>
          <w:sz w:val="20"/>
          <w:lang w:val="pt-PT"/>
        </w:rPr>
        <w:t xml:space="preserve">trica, </w:t>
      </w:r>
      <w:r w:rsidR="00851981" w:rsidRPr="00C53C6F">
        <w:rPr>
          <w:sz w:val="20"/>
          <w:lang w:val="pt-PT"/>
        </w:rPr>
        <w:t xml:space="preserve"> Instituto Militar de Engenharia, </w:t>
      </w:r>
      <w:r w:rsidR="00D568C5" w:rsidRPr="00C53C6F">
        <w:rPr>
          <w:sz w:val="20"/>
          <w:lang w:val="pt-PT"/>
        </w:rPr>
        <w:t>Rio de Janeiro, Brasil</w:t>
      </w:r>
    </w:p>
    <w:p w:rsidR="000C57F8" w:rsidRPr="00C53C6F" w:rsidRDefault="000C57F8" w:rsidP="000C57F8">
      <w:pPr>
        <w:pStyle w:val="BodyofPaper"/>
        <w:jc w:val="center"/>
        <w:rPr>
          <w:lang w:val="pt-PT"/>
        </w:rPr>
      </w:pPr>
      <w:r w:rsidRPr="00C53C6F">
        <w:rPr>
          <w:vertAlign w:val="superscript"/>
          <w:lang w:val="pt-PT"/>
        </w:rPr>
        <w:t>d</w:t>
      </w:r>
      <w:r w:rsidR="00890774" w:rsidRPr="00C53C6F">
        <w:rPr>
          <w:lang w:val="pt-PT"/>
        </w:rPr>
        <w:t>Centro de Ciências Exactas e da Engenharia</w:t>
      </w:r>
      <w:r w:rsidRPr="00C53C6F">
        <w:rPr>
          <w:lang w:val="pt-PT"/>
        </w:rPr>
        <w:t>, Universidade da Madeira, Penteada, 9000-390 Funchal, Portugal</w:t>
      </w:r>
    </w:p>
    <w:p w:rsidR="00FD3BDF" w:rsidRPr="00C53C6F" w:rsidRDefault="00FD3BDF" w:rsidP="000C57F8">
      <w:pPr>
        <w:pStyle w:val="BodyofPaper"/>
        <w:jc w:val="center"/>
        <w:rPr>
          <w:lang w:val="pt-PT"/>
        </w:rPr>
      </w:pPr>
      <w:r w:rsidRPr="00C53C6F">
        <w:rPr>
          <w:vertAlign w:val="superscript"/>
          <w:lang w:val="pt-PT"/>
        </w:rPr>
        <w:t>e</w:t>
      </w:r>
      <w:r w:rsidRPr="00C53C6F">
        <w:rPr>
          <w:lang w:val="pt-PT"/>
        </w:rPr>
        <w:t>Faculdade de Engenharia da Computação, Universidade Federal do Pará, Belém, Brasil.</w:t>
      </w:r>
    </w:p>
    <w:p w:rsidR="000C57F8" w:rsidRPr="00C53C6F" w:rsidRDefault="00FD3BDF" w:rsidP="000C57F8">
      <w:pPr>
        <w:pStyle w:val="SPIEAuthors-Affils"/>
        <w:rPr>
          <w:sz w:val="20"/>
          <w:lang w:val="pt-PT"/>
        </w:rPr>
      </w:pPr>
      <w:r w:rsidRPr="00C53C6F">
        <w:rPr>
          <w:sz w:val="20"/>
          <w:vertAlign w:val="superscript"/>
          <w:lang w:val="pt-PT"/>
        </w:rPr>
        <w:t>f</w:t>
      </w:r>
      <w:r w:rsidR="000C59FC" w:rsidRPr="00C53C6F">
        <w:rPr>
          <w:sz w:val="20"/>
          <w:lang w:val="pt-PT"/>
        </w:rPr>
        <w:t>Universidade Federal de Espirito Santo</w:t>
      </w:r>
      <w:r w:rsidR="00206444" w:rsidRPr="00C53C6F">
        <w:rPr>
          <w:sz w:val="20"/>
          <w:lang w:val="pt-PT"/>
        </w:rPr>
        <w:t>, Vitória, Brasil</w:t>
      </w:r>
    </w:p>
    <w:p w:rsidR="005F0407" w:rsidRPr="00C53C6F" w:rsidRDefault="005F0407" w:rsidP="005F0407">
      <w:pPr>
        <w:pStyle w:val="BodyofPaper"/>
        <w:jc w:val="center"/>
        <w:rPr>
          <w:lang w:val="pt-PT"/>
        </w:rPr>
      </w:pPr>
      <w:r w:rsidRPr="00C53C6F">
        <w:rPr>
          <w:vertAlign w:val="superscript"/>
          <w:lang w:val="pt-PT"/>
        </w:rPr>
        <w:t>g</w:t>
      </w:r>
      <w:r w:rsidRPr="00C53C6F">
        <w:rPr>
          <w:lang w:val="pt-PT"/>
        </w:rPr>
        <w:t>Dept. Eng. Eletrônica, CEFET-RJ, Rio de Janeiro, Brasil</w:t>
      </w:r>
    </w:p>
    <w:p w:rsidR="005F0407" w:rsidRPr="00C53C6F" w:rsidRDefault="005F0407" w:rsidP="005F0407">
      <w:pPr>
        <w:pStyle w:val="BodyofPaper"/>
        <w:jc w:val="center"/>
        <w:rPr>
          <w:lang w:val="pt-PT"/>
        </w:rPr>
      </w:pPr>
      <w:r w:rsidRPr="00C53C6F">
        <w:rPr>
          <w:vertAlign w:val="superscript"/>
          <w:lang w:val="pt-PT"/>
        </w:rPr>
        <w:t>h</w:t>
      </w:r>
      <w:r w:rsidRPr="00C53C6F">
        <w:rPr>
          <w:lang w:val="pt-PT"/>
        </w:rPr>
        <w:t>Dept. Eng. Telecomunicações, UFF, Niterói, Brasil</w:t>
      </w:r>
    </w:p>
    <w:p w:rsidR="000C57F8" w:rsidRPr="00D47953" w:rsidRDefault="000C57F8" w:rsidP="000C57F8">
      <w:pPr>
        <w:pStyle w:val="BodyofPaper"/>
        <w:jc w:val="center"/>
        <w:rPr>
          <w:lang w:val="pt-PT"/>
        </w:rPr>
      </w:pPr>
    </w:p>
    <w:p w:rsidR="00FE6218" w:rsidRPr="00C2440B" w:rsidRDefault="00FE6218" w:rsidP="00763402">
      <w:pPr>
        <w:pStyle w:val="SPIEabstracttitle"/>
        <w:spacing w:before="0" w:after="120"/>
        <w:rPr>
          <w:i/>
        </w:rPr>
      </w:pPr>
      <w:r w:rsidRPr="00C2440B">
        <w:t xml:space="preserve">Abstract  </w:t>
      </w:r>
    </w:p>
    <w:p w:rsidR="00FE6218" w:rsidRPr="00D47953" w:rsidRDefault="00023DF1" w:rsidP="00FE6218">
      <w:pPr>
        <w:pStyle w:val="SPIEabstractbodytext"/>
        <w:rPr>
          <w:bCs/>
        </w:rPr>
      </w:pPr>
      <w:r w:rsidRPr="00D47953">
        <w:rPr>
          <w:bCs/>
        </w:rPr>
        <w:t>It is reported a</w:t>
      </w:r>
      <w:r w:rsidR="00457EE8" w:rsidRPr="00D47953">
        <w:rPr>
          <w:bCs/>
        </w:rPr>
        <w:t xml:space="preserve"> LPG </w:t>
      </w:r>
      <w:r w:rsidR="00AA53BF">
        <w:rPr>
          <w:bCs/>
        </w:rPr>
        <w:t xml:space="preserve">dynamic </w:t>
      </w:r>
      <w:r w:rsidR="00457EE8" w:rsidRPr="00D47953">
        <w:rPr>
          <w:bCs/>
        </w:rPr>
        <w:t xml:space="preserve">interrogation technique </w:t>
      </w:r>
      <w:r w:rsidRPr="00D47953">
        <w:rPr>
          <w:bCs/>
        </w:rPr>
        <w:t xml:space="preserve">based on the modulation of </w:t>
      </w:r>
      <w:r w:rsidR="00857E67" w:rsidRPr="00D47953">
        <w:rPr>
          <w:bCs/>
        </w:rPr>
        <w:t>fibre</w:t>
      </w:r>
      <w:r w:rsidRPr="00D47953">
        <w:rPr>
          <w:bCs/>
        </w:rPr>
        <w:t xml:space="preserve"> Bragg gratings located in the readout unit that </w:t>
      </w:r>
      <w:r w:rsidR="00444E62" w:rsidRPr="00D47953">
        <w:rPr>
          <w:bCs/>
        </w:rPr>
        <w:t>permi</w:t>
      </w:r>
      <w:r w:rsidR="00444E62">
        <w:rPr>
          <w:bCs/>
        </w:rPr>
        <w:t>ts</w:t>
      </w:r>
      <w:r w:rsidR="00444E62" w:rsidRPr="00D47953">
        <w:rPr>
          <w:bCs/>
        </w:rPr>
        <w:t xml:space="preserve"> </w:t>
      </w:r>
      <w:r w:rsidRPr="00D47953">
        <w:rPr>
          <w:bCs/>
        </w:rPr>
        <w:t xml:space="preserve">to attenuate the effect of the 1/f noise of the electronics in the resolution of the LPG-based sensing head. The concept is tested to detect variations of the external refractive index and a resolution of </w:t>
      </w:r>
      <w:r w:rsidR="00910879" w:rsidRPr="00D47953">
        <w:rPr>
          <w:position w:val="-10"/>
        </w:rPr>
        <w:object w:dxaOrig="11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4.05pt" o:ole="">
            <v:imagedata r:id="rId8" o:title=""/>
          </v:shape>
          <o:OLEObject Type="Embed" ProgID="Equation.DSMT4" ShapeID="_x0000_i1025" DrawAspect="Content" ObjectID="_1340432396" r:id="rId9"/>
        </w:object>
      </w:r>
      <w:r w:rsidRPr="00D47953">
        <w:t xml:space="preserve">was achieved without </w:t>
      </w:r>
      <w:r w:rsidR="00E4505C" w:rsidRPr="00D47953">
        <w:t xml:space="preserve">system </w:t>
      </w:r>
      <w:r w:rsidR="00475C9E">
        <w:t>optimiz</w:t>
      </w:r>
      <w:r w:rsidR="00475C9E" w:rsidRPr="00D47953">
        <w:t>ation</w:t>
      </w:r>
      <w:r w:rsidRPr="00D47953">
        <w:t xml:space="preserve">. Additionally, the effect in the sensor resolution </w:t>
      </w:r>
      <w:r w:rsidR="005F0407" w:rsidRPr="00475C9E">
        <w:t xml:space="preserve">when </w:t>
      </w:r>
      <w:r w:rsidRPr="00D47953">
        <w:t>introducing Erbium and Raman opt</w:t>
      </w:r>
      <w:r w:rsidR="00E4505C" w:rsidRPr="00D47953">
        <w:t>ical amplification</w:t>
      </w:r>
      <w:r w:rsidRPr="00D47953">
        <w:t xml:space="preserve"> is experimentally investigated.</w:t>
      </w:r>
      <w:r w:rsidR="00FE6218" w:rsidRPr="00D47953">
        <w:t xml:space="preserve"> </w:t>
      </w:r>
      <w:r w:rsidR="00FE6218" w:rsidRPr="00D47953">
        <w:rPr>
          <w:i/>
        </w:rPr>
        <w:t xml:space="preserve"> </w:t>
      </w:r>
    </w:p>
    <w:p w:rsidR="00FE6218" w:rsidRPr="00D47953" w:rsidRDefault="00FE6218" w:rsidP="00FE6218">
      <w:pPr>
        <w:pStyle w:val="Keywords"/>
        <w:ind w:left="0" w:firstLine="0"/>
        <w:outlineLvl w:val="0"/>
        <w:rPr>
          <w:i/>
        </w:rPr>
      </w:pPr>
      <w:r w:rsidRPr="00D47953">
        <w:rPr>
          <w:b/>
        </w:rPr>
        <w:t>Keywords:</w:t>
      </w:r>
      <w:r w:rsidRPr="00D47953">
        <w:t xml:space="preserve"> </w:t>
      </w:r>
      <w:r w:rsidR="00023DF1" w:rsidRPr="00D47953">
        <w:t>Optical fibre sensors, long period gratings, fibre Bragg gratings, sensor interrogation.</w:t>
      </w:r>
    </w:p>
    <w:p w:rsidR="00FE6218" w:rsidRPr="00D47953" w:rsidRDefault="00FE6218" w:rsidP="00A67FB2">
      <w:pPr>
        <w:pStyle w:val="Ttulo1"/>
      </w:pPr>
      <w:r w:rsidRPr="00D47953">
        <w:t xml:space="preserve">INTRODUCTION </w:t>
      </w:r>
    </w:p>
    <w:p w:rsidR="00B769A2" w:rsidRPr="00D47953" w:rsidRDefault="0043730A" w:rsidP="00B769A2">
      <w:pPr>
        <w:pStyle w:val="SPIEbodytext"/>
        <w:spacing w:after="0"/>
      </w:pPr>
      <w:r w:rsidRPr="00D47953">
        <w:t>The concept of long</w:t>
      </w:r>
      <w:r w:rsidR="007F5FB5" w:rsidRPr="00D47953">
        <w:t>-period gratings (LPGs), where</w:t>
      </w:r>
      <w:r w:rsidRPr="00D47953">
        <w:t xml:space="preserve"> the light guided in the core is coupled to several cladding modes at specific resonant wavelengths, appeared in 1996 [1]. They are devices which share the intrinsic characteristics of optical </w:t>
      </w:r>
      <w:r w:rsidR="00857E67" w:rsidRPr="00D47953">
        <w:t>fibre</w:t>
      </w:r>
      <w:r w:rsidRPr="00D47953">
        <w:t xml:space="preserve"> sensors, such as electrically passive operation, immun</w:t>
      </w:r>
      <w:r w:rsidR="007F5FB5" w:rsidRPr="00D47953">
        <w:t>ity to electromagnetic interference</w:t>
      </w:r>
      <w:r w:rsidRPr="00D47953">
        <w:t xml:space="preserve"> and multiplexing capability, and </w:t>
      </w:r>
      <w:r w:rsidR="007F5FB5" w:rsidRPr="00D47953">
        <w:t xml:space="preserve">show </w:t>
      </w:r>
      <w:r w:rsidRPr="00D47953">
        <w:t>some specific characteristics such as low back reflection and low insertion loss. The low back reflection characteristic occurs because LPGs operate in transmission owing to the coupling of the fundamental guided mode to</w:t>
      </w:r>
      <w:r w:rsidR="007F5FB5" w:rsidRPr="00D47953">
        <w:t xml:space="preserve"> co-directional cladding modes.</w:t>
      </w:r>
      <w:r w:rsidRPr="00D47953">
        <w:t xml:space="preserve"> The coupling between forward modes occurs when the phase matching vector </w:t>
      </w:r>
      <w:r w:rsidR="007F5FB5" w:rsidRPr="00D47953">
        <w:t>is short, which corresponds to</w:t>
      </w:r>
      <w:r w:rsidRPr="00D47953">
        <w:t xml:space="preserve"> a</w:t>
      </w:r>
      <w:r w:rsidR="007F5FB5" w:rsidRPr="00D47953">
        <w:t xml:space="preserve"> refractive index spatial modulation </w:t>
      </w:r>
      <w:r w:rsidRPr="00D47953">
        <w:t xml:space="preserve">period of </w:t>
      </w:r>
      <w:r w:rsidR="007F5FB5" w:rsidRPr="00D47953">
        <w:t xml:space="preserve">some </w:t>
      </w:r>
      <w:r w:rsidRPr="00D47953">
        <w:t xml:space="preserve">hundred </w:t>
      </w:r>
      <w:r w:rsidR="007F5FB5" w:rsidRPr="00D47953">
        <w:t>micrometers, a fabrication</w:t>
      </w:r>
      <w:r w:rsidRPr="00D47953">
        <w:t xml:space="preserve"> advantage com</w:t>
      </w:r>
      <w:r w:rsidR="00330B5F" w:rsidRPr="00D47953">
        <w:t xml:space="preserve">pared with </w:t>
      </w:r>
      <w:r w:rsidR="00857E67" w:rsidRPr="00D47953">
        <w:t>fibre</w:t>
      </w:r>
      <w:r w:rsidR="00330B5F" w:rsidRPr="00D47953">
        <w:t xml:space="preserve"> Bragg gratings [2]. </w:t>
      </w:r>
    </w:p>
    <w:p w:rsidR="00B769A2" w:rsidRPr="00D47953" w:rsidRDefault="007F5FB5" w:rsidP="00B769A2">
      <w:pPr>
        <w:pStyle w:val="SPIEbodytext"/>
        <w:spacing w:after="0"/>
      </w:pPr>
      <w:r w:rsidRPr="00D47953">
        <w:t>Because LPGs deal</w:t>
      </w:r>
      <w:r w:rsidR="00330B5F" w:rsidRPr="00D47953">
        <w:t xml:space="preserve"> with radiation that propagates in the cladding region</w:t>
      </w:r>
      <w:r w:rsidRPr="00D47953">
        <w:t>, its resonance loss band is</w:t>
      </w:r>
      <w:r w:rsidR="00330B5F" w:rsidRPr="00D47953">
        <w:t xml:space="preserve"> sensitive to</w:t>
      </w:r>
      <w:r w:rsidRPr="00D47953">
        <w:t xml:space="preserve"> changes in the </w:t>
      </w:r>
      <w:r w:rsidR="00857E67" w:rsidRPr="00D47953">
        <w:t>fibre</w:t>
      </w:r>
      <w:r w:rsidRPr="00D47953">
        <w:t xml:space="preserve"> structure induced by</w:t>
      </w:r>
      <w:r w:rsidR="002B6456" w:rsidRPr="00D47953">
        <w:t xml:space="preserve"> torsion, transverse load</w:t>
      </w:r>
      <w:r w:rsidR="00330B5F" w:rsidRPr="00D47953">
        <w:t xml:space="preserve"> and, in particular, when bending is applied to the section of the </w:t>
      </w:r>
      <w:r w:rsidR="00857E67" w:rsidRPr="00D47953">
        <w:t>fibre</w:t>
      </w:r>
      <w:r w:rsidR="00330B5F" w:rsidRPr="00D47953">
        <w:t xml:space="preserve"> containing the grating. They are also prone to changes in the surrounding med</w:t>
      </w:r>
      <w:r w:rsidRPr="00D47953">
        <w:t>ium, mainly</w:t>
      </w:r>
      <w:r w:rsidR="00330B5F" w:rsidRPr="00D47953">
        <w:t xml:space="preserve"> to changes on its refractive index. </w:t>
      </w:r>
      <w:r w:rsidRPr="00D47953">
        <w:t>These devices are also sensitive to strain and their temperature sensitivity can be substantial.</w:t>
      </w:r>
      <w:r w:rsidR="00330B5F" w:rsidRPr="00D47953">
        <w:t xml:space="preserve"> Therefore, LPGs are tunable band-rejection filters that find a wide range of applications as optical sensors [3].</w:t>
      </w:r>
      <w:r w:rsidR="00B769A2" w:rsidRPr="00D47953">
        <w:t xml:space="preserve"> More recently LPG</w:t>
      </w:r>
      <w:r w:rsidRPr="00D47953">
        <w:t>s</w:t>
      </w:r>
      <w:r w:rsidR="00B769A2" w:rsidRPr="00D47953">
        <w:t xml:space="preserve"> have been fabricated in photonic crystal fibres and their use as sensing element</w:t>
      </w:r>
      <w:r w:rsidR="00E16D92" w:rsidRPr="00D47953">
        <w:t>s is an active area of research [4-6].</w:t>
      </w:r>
    </w:p>
    <w:p w:rsidR="00475C9E" w:rsidRDefault="00AC1791" w:rsidP="00B769A2">
      <w:pPr>
        <w:pStyle w:val="SPIEbodytext"/>
        <w:spacing w:after="0"/>
      </w:pPr>
      <w:r w:rsidRPr="00D47953">
        <w:t xml:space="preserve">Due to its principle of operation and spectral characteristics LPGs as sensing elements are mostly used to detect variations of quasi-static parameters. Their interrogation is normally achieved with optical spectral analyzers or </w:t>
      </w:r>
      <w:r w:rsidR="00857E67" w:rsidRPr="00D47953">
        <w:t xml:space="preserve">by </w:t>
      </w:r>
      <w:r w:rsidRPr="00D47953">
        <w:t xml:space="preserve">detecting the optical power changes at one or more wavelengths located in the edges of the LPG transmission spectrum. If two wavelengths, one in each edge of the LPG, are selected (for example using selective filters such as </w:t>
      </w:r>
      <w:r w:rsidR="00857E67" w:rsidRPr="00D47953">
        <w:t>fibre</w:t>
      </w:r>
      <w:r w:rsidRPr="00D47953">
        <w:t xml:space="preserve"> Bragg gratings</w:t>
      </w:r>
      <w:r w:rsidR="00763402" w:rsidRPr="00D47953">
        <w:t xml:space="preserve"> - FBG</w:t>
      </w:r>
      <w:r w:rsidRPr="00D47953">
        <w:t>), and if the detected optical power in these wavelengths are</w:t>
      </w:r>
      <w:r w:rsidR="00475C9E" w:rsidRPr="00475C9E">
        <w:t xml:space="preserve"> </w:t>
      </w:r>
      <w:r w:rsidR="00475C9E" w:rsidRPr="00475C9E">
        <w:rPr>
          <w:i/>
        </w:rPr>
        <w:t>P</w:t>
      </w:r>
      <w:r w:rsidR="00475C9E" w:rsidRPr="00475C9E">
        <w:rPr>
          <w:vertAlign w:val="subscript"/>
        </w:rPr>
        <w:t>1</w:t>
      </w:r>
      <w:r w:rsidR="00475C9E">
        <w:t xml:space="preserve"> and </w:t>
      </w:r>
      <w:r w:rsidR="00475C9E" w:rsidRPr="00475C9E">
        <w:rPr>
          <w:i/>
        </w:rPr>
        <w:t>P</w:t>
      </w:r>
      <w:r w:rsidR="00475C9E" w:rsidRPr="00475C9E">
        <w:rPr>
          <w:vertAlign w:val="subscript"/>
        </w:rPr>
        <w:t>2</w:t>
      </w:r>
      <w:r w:rsidRPr="00D47953">
        <w:t>, then processing of the</w:t>
      </w:r>
      <w:r w:rsidR="00475C9E">
        <w:t xml:space="preserve"> type </w:t>
      </w:r>
      <w:r w:rsidR="00475C9E" w:rsidRPr="00475C9E">
        <w:t>(</w:t>
      </w:r>
      <w:r w:rsidR="00475C9E" w:rsidRPr="00475C9E">
        <w:rPr>
          <w:i/>
        </w:rPr>
        <w:t>P</w:t>
      </w:r>
      <w:r w:rsidR="00475C9E" w:rsidRPr="00475C9E">
        <w:rPr>
          <w:vertAlign w:val="subscript"/>
        </w:rPr>
        <w:t>1</w:t>
      </w:r>
      <w:r w:rsidR="00475C9E" w:rsidRPr="00475C9E">
        <w:t>-</w:t>
      </w:r>
      <w:r w:rsidR="00475C9E" w:rsidRPr="00475C9E">
        <w:rPr>
          <w:i/>
        </w:rPr>
        <w:t>P</w:t>
      </w:r>
      <w:r w:rsidR="00475C9E" w:rsidRPr="00475C9E">
        <w:rPr>
          <w:vertAlign w:val="subscript"/>
        </w:rPr>
        <w:t>2</w:t>
      </w:r>
      <w:r w:rsidR="00475C9E" w:rsidRPr="00475C9E">
        <w:t>)/(</w:t>
      </w:r>
      <w:r w:rsidR="00475C9E" w:rsidRPr="00475C9E">
        <w:rPr>
          <w:i/>
        </w:rPr>
        <w:t>P</w:t>
      </w:r>
      <w:r w:rsidR="00475C9E" w:rsidRPr="00475C9E">
        <w:rPr>
          <w:vertAlign w:val="subscript"/>
        </w:rPr>
        <w:t>1</w:t>
      </w:r>
      <w:r w:rsidR="00475C9E" w:rsidRPr="00475C9E">
        <w:t>+</w:t>
      </w:r>
      <w:r w:rsidR="00475C9E" w:rsidRPr="00475C9E">
        <w:rPr>
          <w:i/>
        </w:rPr>
        <w:t>P</w:t>
      </w:r>
      <w:r w:rsidR="00475C9E" w:rsidRPr="00475C9E">
        <w:rPr>
          <w:vertAlign w:val="subscript"/>
        </w:rPr>
        <w:t>2</w:t>
      </w:r>
      <w:r w:rsidR="00475C9E" w:rsidRPr="00475C9E">
        <w:t>)</w:t>
      </w:r>
      <w:r w:rsidR="00475C9E">
        <w:t xml:space="preserve"> </w:t>
      </w:r>
      <w:r w:rsidR="00475C9E" w:rsidRPr="00475C9E">
        <w:t>gives a signal proportional to the measurand induced LPG shift and independent of the optical power fluctuations along the system [7,8]. Considering the associated photodetection, amplification and processing are in most of the cases in the DC or quasi-DC regime, the measurand readout resolution can be substantially affected by the 1/f noise of the electronics. Therefore, it would be advantageous to set-up a LPG interrogation approach compatible with signal photodetection and amplification at higher frequencies.</w:t>
      </w:r>
    </w:p>
    <w:p w:rsidR="00337370" w:rsidRPr="00D47953" w:rsidRDefault="00DF12CD" w:rsidP="00DF12CD">
      <w:pPr>
        <w:pStyle w:val="SPIEbodytext"/>
        <w:widowControl w:val="0"/>
        <w:spacing w:before="120" w:after="0"/>
      </w:pPr>
      <w:r w:rsidRPr="00D47953">
        <w:rPr>
          <w:position w:val="-10"/>
        </w:rPr>
        <w:t>In this work it is reported first results of a LPG inte</w:t>
      </w:r>
      <w:r w:rsidR="00B76953" w:rsidRPr="00D47953">
        <w:rPr>
          <w:position w:val="-10"/>
        </w:rPr>
        <w:t>rrogation technique based on</w:t>
      </w:r>
      <w:r w:rsidRPr="00D47953">
        <w:rPr>
          <w:position w:val="-10"/>
        </w:rPr>
        <w:t xml:space="preserve"> modulation at different frequencies</w:t>
      </w:r>
      <w:r w:rsidR="00B76953" w:rsidRPr="00D47953">
        <w:rPr>
          <w:position w:val="-10"/>
        </w:rPr>
        <w:t xml:space="preserve"> of </w:t>
      </w:r>
      <w:r w:rsidR="00B76953" w:rsidRPr="00D47953">
        <w:t xml:space="preserve">the Bragg wavelengths of two </w:t>
      </w:r>
      <w:r w:rsidRPr="00D47953">
        <w:t xml:space="preserve">FBGs, spectrally located in the edges of the LPG, and detecting the amplitude at these frequencies of the </w:t>
      </w:r>
      <w:r w:rsidR="00475C9E">
        <w:t xml:space="preserve">signals reflected by the FBGs. </w:t>
      </w:r>
      <w:r w:rsidRPr="00D47953">
        <w:t>These amplitudes are proportional to the slope</w:t>
      </w:r>
      <w:r w:rsidR="00AB7D51" w:rsidRPr="00D47953">
        <w:t>s</w:t>
      </w:r>
      <w:r w:rsidRPr="00D47953">
        <w:t xml:space="preserve"> of the</w:t>
      </w:r>
      <w:r w:rsidR="00AB7D51" w:rsidRPr="00D47953">
        <w:t xml:space="preserve"> LPG spectral </w:t>
      </w:r>
      <w:r w:rsidR="00AB7D51" w:rsidRPr="00D47953">
        <w:lastRenderedPageBreak/>
        <w:t xml:space="preserve">response </w:t>
      </w:r>
      <w:r w:rsidRPr="00D47953">
        <w:t>at th</w:t>
      </w:r>
      <w:r w:rsidR="00AB7D51" w:rsidRPr="00D47953">
        <w:t>e FBG wavelengths, which change</w:t>
      </w:r>
      <w:r w:rsidRPr="00D47953">
        <w:t xml:space="preserve"> with the relative spectral movements of the LPG and</w:t>
      </w:r>
      <w:r w:rsidR="00AB7D51" w:rsidRPr="00D47953">
        <w:t xml:space="preserve"> FBGs, permitting to generate an</w:t>
      </w:r>
      <w:r w:rsidRPr="00D47953">
        <w:t xml:space="preserve"> </w:t>
      </w:r>
      <w:r w:rsidR="00AB7D51" w:rsidRPr="00D47953">
        <w:t xml:space="preserve">optical </w:t>
      </w:r>
      <w:r w:rsidRPr="00D47953">
        <w:t>signal proportional to the LPG spectral shift</w:t>
      </w:r>
      <w:r w:rsidR="00AB7D51" w:rsidRPr="00D47953">
        <w:t xml:space="preserve"> and immune to optical power fluctuations along the system</w:t>
      </w:r>
      <w:r w:rsidRPr="00D47953">
        <w:t xml:space="preserve">. This technique is tested for measurement </w:t>
      </w:r>
      <w:r w:rsidR="00337370" w:rsidRPr="00D47953">
        <w:t xml:space="preserve">of </w:t>
      </w:r>
      <w:r w:rsidR="00AB7D51" w:rsidRPr="00D47953">
        <w:t xml:space="preserve">variations of the </w:t>
      </w:r>
      <w:r w:rsidR="00337370" w:rsidRPr="00D47953">
        <w:t xml:space="preserve">refractive index of the surrounding medium. </w:t>
      </w:r>
      <w:r w:rsidRPr="00D47953">
        <w:t>Also, the impact of introducing Erbium and Raman opt</w:t>
      </w:r>
      <w:r w:rsidR="00AB7D51" w:rsidRPr="00D47953">
        <w:t>ical amplification</w:t>
      </w:r>
      <w:r w:rsidRPr="00D47953">
        <w:t xml:space="preserve"> is experimentally investigated. </w:t>
      </w:r>
    </w:p>
    <w:p w:rsidR="00DF12CD" w:rsidRPr="00D47953" w:rsidRDefault="00337370" w:rsidP="00A67FB2">
      <w:pPr>
        <w:pStyle w:val="Ttulo1"/>
      </w:pPr>
      <w:r w:rsidRPr="00D47953">
        <w:t>PRinciple ANd EXPERIMENTAL</w:t>
      </w:r>
    </w:p>
    <w:p w:rsidR="00EC6EC1" w:rsidRPr="00D47953" w:rsidRDefault="00337370" w:rsidP="00910879">
      <w:pPr>
        <w:pStyle w:val="SPIEbodytext"/>
        <w:rPr>
          <w:position w:val="-10"/>
        </w:rPr>
      </w:pPr>
      <w:r w:rsidRPr="00D47953">
        <w:rPr>
          <w:position w:val="-10"/>
        </w:rPr>
        <w:t>The feasibility of the proposed</w:t>
      </w:r>
      <w:r w:rsidR="00857E67" w:rsidRPr="00D47953">
        <w:rPr>
          <w:position w:val="-10"/>
        </w:rPr>
        <w:t xml:space="preserve"> approach is dependent on the level of slope variation along</w:t>
      </w:r>
      <w:r w:rsidR="007E4A7A" w:rsidRPr="00D47953">
        <w:rPr>
          <w:position w:val="-10"/>
        </w:rPr>
        <w:t xml:space="preserve"> the LPG spectral resonance</w:t>
      </w:r>
      <w:r w:rsidR="00857E67" w:rsidRPr="00D47953">
        <w:rPr>
          <w:position w:val="-10"/>
        </w:rPr>
        <w:t xml:space="preserve">. To a good </w:t>
      </w:r>
      <w:r w:rsidR="006E7E0C" w:rsidRPr="00D47953">
        <w:rPr>
          <w:position w:val="-10"/>
        </w:rPr>
        <w:t>a</w:t>
      </w:r>
      <w:r w:rsidR="00910879" w:rsidRPr="00D47953">
        <w:rPr>
          <w:position w:val="-10"/>
        </w:rPr>
        <w:t xml:space="preserve">pproximation </w:t>
      </w:r>
      <w:r w:rsidR="00EC6EC1" w:rsidRPr="00D47953">
        <w:rPr>
          <w:position w:val="-10"/>
        </w:rPr>
        <w:t>the LPG transfer function</w:t>
      </w:r>
      <w:r w:rsidR="00910879" w:rsidRPr="00D47953">
        <w:rPr>
          <w:position w:val="-10"/>
        </w:rPr>
        <w:t xml:space="preserve"> can be represented by</w:t>
      </w:r>
      <w:r w:rsidR="006E7E0C" w:rsidRPr="00D47953">
        <w:rPr>
          <w:position w:val="-10"/>
        </w:rPr>
        <w:t xml:space="preserve"> </w:t>
      </w:r>
      <w:r w:rsidR="00EC6EC1" w:rsidRPr="00D47953">
        <w:rPr>
          <w:position w:val="-10"/>
        </w:rPr>
        <w:t xml:space="preserve">the </w:t>
      </w:r>
      <w:r w:rsidR="006E7E0C" w:rsidRPr="00D47953">
        <w:rPr>
          <w:position w:val="-10"/>
        </w:rPr>
        <w:t>following expression</w:t>
      </w:r>
      <w:r w:rsidR="00EC6EC1" w:rsidRPr="00D47953">
        <w:rPr>
          <w:position w:val="-10"/>
        </w:rPr>
        <w:t xml:space="preserve"> [9]</w:t>
      </w:r>
      <w:r w:rsidR="006E7E0C" w:rsidRPr="00D47953">
        <w:rPr>
          <w:position w:val="-10"/>
        </w:rPr>
        <w:t>:</w:t>
      </w:r>
    </w:p>
    <w:p w:rsidR="00337370" w:rsidRPr="00D47953" w:rsidRDefault="00337370" w:rsidP="00337370">
      <w:pPr>
        <w:pStyle w:val="SPIEbodytext"/>
        <w:jc w:val="center"/>
        <w:rPr>
          <w:position w:val="-10"/>
        </w:rPr>
      </w:pPr>
      <w:r w:rsidRPr="00D47953">
        <w:rPr>
          <w:position w:val="-40"/>
          <w:lang w:val="pt-PT"/>
        </w:rPr>
        <w:object w:dxaOrig="4420" w:dyaOrig="920">
          <v:shape id="_x0000_i1026" type="#_x0000_t75" style="width:184.7pt;height:39.25pt" o:ole="">
            <v:imagedata r:id="rId10" o:title=""/>
          </v:shape>
          <o:OLEObject Type="Embed" ProgID="Equation.DSMT4" ShapeID="_x0000_i1026" DrawAspect="Content" ObjectID="_1340432397" r:id="rId11"/>
        </w:object>
      </w:r>
    </w:p>
    <w:p w:rsidR="00A67FB2" w:rsidRPr="00D47953" w:rsidRDefault="008337C9" w:rsidP="00561C5A">
      <w:pPr>
        <w:pStyle w:val="NormalWeb"/>
        <w:spacing w:before="0" w:beforeAutospacing="0" w:after="0" w:afterAutospacing="0"/>
        <w:jc w:val="both"/>
        <w:rPr>
          <w:color w:val="auto"/>
          <w:sz w:val="20"/>
          <w:szCs w:val="20"/>
        </w:rPr>
      </w:pPr>
      <w:r w:rsidRPr="008337C9">
        <w:rPr>
          <w:noProof/>
          <w:color w:val="auto"/>
          <w:sz w:val="20"/>
          <w:szCs w:val="20"/>
          <w:lang w:val="en-US" w:eastAsia="zh-TW"/>
        </w:rPr>
        <w:pict>
          <v:shapetype id="_x0000_t202" coordsize="21600,21600" o:spt="202" path="m,l,21600r21600,l21600,xe">
            <v:stroke joinstyle="miter"/>
            <v:path gradientshapeok="t" o:connecttype="rect"/>
          </v:shapetype>
          <v:shape id="_x0000_s1038" type="#_x0000_t202" style="position:absolute;left:0;text-align:left;margin-left:2.35pt;margin-top:50.7pt;width:224.2pt;height:153.75pt;z-index:-251658240;mso-height-percent:200;mso-height-percent:200;mso-width-relative:margin;mso-height-relative:margin" wrapcoords="-72 0 -72 21499 21600 21499 21600 0 -72 0" stroked="f">
            <v:textbox style="mso-fit-shape-to-text:t">
              <w:txbxContent>
                <w:p w:rsidR="009F6CDE" w:rsidRPr="00D70ABE" w:rsidRDefault="00561C5A" w:rsidP="009F6CDE">
                  <w:pPr>
                    <w:pStyle w:val="NormalWeb"/>
                    <w:spacing w:before="0" w:beforeAutospacing="0" w:after="0" w:afterAutospacing="0"/>
                    <w:jc w:val="center"/>
                    <w:rPr>
                      <w:color w:val="auto"/>
                    </w:rPr>
                  </w:pPr>
                  <w:r w:rsidRPr="00D70ABE">
                    <w:rPr>
                      <w:color w:val="auto"/>
                    </w:rPr>
                    <w:object w:dxaOrig="6756" w:dyaOrig="4919">
                      <v:shape id="_x0000_i1035" type="#_x0000_t75" style="width:185.6pt;height:135.6pt" o:ole="">
                        <v:imagedata r:id="rId12" o:title=""/>
                      </v:shape>
                      <o:OLEObject Type="Embed" ProgID="Origin50.Graph" ShapeID="_x0000_i1035" DrawAspect="Content" ObjectID="_1340432406" r:id="rId13"/>
                    </w:object>
                  </w:r>
                </w:p>
                <w:p w:rsidR="009F6CDE" w:rsidRPr="00561C5A" w:rsidRDefault="009F6CDE" w:rsidP="009F6CDE">
                  <w:pPr>
                    <w:jc w:val="center"/>
                    <w:rPr>
                      <w:sz w:val="18"/>
                      <w:szCs w:val="18"/>
                    </w:rPr>
                  </w:pPr>
                  <w:bookmarkStart w:id="0" w:name="_Ref257276868"/>
                  <w:r w:rsidRPr="00561C5A">
                    <w:rPr>
                      <w:sz w:val="18"/>
                      <w:szCs w:val="18"/>
                    </w:rPr>
                    <w:t xml:space="preserve">Figure </w:t>
                  </w:r>
                  <w:r w:rsidR="008337C9" w:rsidRPr="00561C5A">
                    <w:rPr>
                      <w:sz w:val="18"/>
                      <w:szCs w:val="18"/>
                    </w:rPr>
                    <w:fldChar w:fldCharType="begin"/>
                  </w:r>
                  <w:r w:rsidRPr="00561C5A">
                    <w:rPr>
                      <w:sz w:val="18"/>
                      <w:szCs w:val="18"/>
                    </w:rPr>
                    <w:instrText xml:space="preserve"> SEQ Figure \* ARABIC </w:instrText>
                  </w:r>
                  <w:r w:rsidR="008337C9" w:rsidRPr="00561C5A">
                    <w:rPr>
                      <w:sz w:val="18"/>
                      <w:szCs w:val="18"/>
                    </w:rPr>
                    <w:fldChar w:fldCharType="separate"/>
                  </w:r>
                  <w:r w:rsidR="00117E86">
                    <w:rPr>
                      <w:noProof/>
                      <w:sz w:val="18"/>
                      <w:szCs w:val="18"/>
                    </w:rPr>
                    <w:t>1</w:t>
                  </w:r>
                  <w:r w:rsidR="008337C9" w:rsidRPr="00561C5A">
                    <w:rPr>
                      <w:sz w:val="18"/>
                      <w:szCs w:val="18"/>
                    </w:rPr>
                    <w:fldChar w:fldCharType="end"/>
                  </w:r>
                  <w:bookmarkEnd w:id="0"/>
                  <w:r w:rsidRPr="00561C5A">
                    <w:rPr>
                      <w:sz w:val="18"/>
                      <w:szCs w:val="18"/>
                    </w:rPr>
                    <w:t xml:space="preserve"> - </w:t>
                  </w:r>
                  <w:r w:rsidR="00561C5A" w:rsidRPr="00561C5A">
                    <w:rPr>
                      <w:i/>
                      <w:sz w:val="18"/>
                      <w:szCs w:val="18"/>
                    </w:rPr>
                    <w:t>P</w:t>
                  </w:r>
                  <w:r w:rsidR="00561C5A" w:rsidRPr="00561C5A">
                    <w:rPr>
                      <w:i/>
                      <w:sz w:val="18"/>
                      <w:szCs w:val="18"/>
                      <w:vertAlign w:val="subscript"/>
                    </w:rPr>
                    <w:t>out</w:t>
                  </w:r>
                  <w:r w:rsidR="00561C5A" w:rsidRPr="00561C5A">
                    <w:rPr>
                      <w:sz w:val="18"/>
                      <w:szCs w:val="18"/>
                    </w:rPr>
                    <w:t xml:space="preserve"> (</w:t>
                  </w:r>
                  <w:r w:rsidR="00561C5A" w:rsidRPr="00561C5A">
                    <w:rPr>
                      <w:rFonts w:ascii="Symbol" w:hAnsi="Symbol"/>
                      <w:i/>
                      <w:sz w:val="18"/>
                      <w:szCs w:val="18"/>
                    </w:rPr>
                    <w:t></w:t>
                  </w:r>
                  <w:r w:rsidR="00561C5A" w:rsidRPr="00561C5A">
                    <w:rPr>
                      <w:sz w:val="18"/>
                      <w:szCs w:val="18"/>
                    </w:rPr>
                    <w:t>)/</w:t>
                  </w:r>
                  <w:r w:rsidR="00561C5A" w:rsidRPr="00561C5A">
                    <w:rPr>
                      <w:i/>
                      <w:sz w:val="18"/>
                      <w:szCs w:val="18"/>
                    </w:rPr>
                    <w:t>P</w:t>
                  </w:r>
                  <w:r w:rsidR="00561C5A" w:rsidRPr="00561C5A">
                    <w:rPr>
                      <w:i/>
                      <w:sz w:val="18"/>
                      <w:szCs w:val="18"/>
                      <w:vertAlign w:val="subscript"/>
                    </w:rPr>
                    <w:t>0</w:t>
                  </w:r>
                  <w:r w:rsidRPr="00561C5A">
                    <w:rPr>
                      <w:sz w:val="18"/>
                      <w:szCs w:val="18"/>
                    </w:rPr>
                    <w:t xml:space="preserve"> and </w:t>
                  </w:r>
                  <w:r w:rsidR="00561C5A" w:rsidRPr="00561C5A">
                    <w:rPr>
                      <w:sz w:val="18"/>
                      <w:szCs w:val="18"/>
                    </w:rPr>
                    <w:t>(</w:t>
                  </w:r>
                  <w:r w:rsidR="00561C5A" w:rsidRPr="00561C5A">
                    <w:rPr>
                      <w:i/>
                      <w:sz w:val="18"/>
                      <w:szCs w:val="18"/>
                    </w:rPr>
                    <w:t>dP</w:t>
                  </w:r>
                  <w:r w:rsidR="00561C5A" w:rsidRPr="00561C5A">
                    <w:rPr>
                      <w:i/>
                      <w:sz w:val="18"/>
                      <w:szCs w:val="18"/>
                      <w:vertAlign w:val="subscript"/>
                    </w:rPr>
                    <w:t>out</w:t>
                  </w:r>
                  <w:r w:rsidR="00561C5A" w:rsidRPr="00561C5A">
                    <w:rPr>
                      <w:sz w:val="18"/>
                      <w:szCs w:val="18"/>
                    </w:rPr>
                    <w:t xml:space="preserve"> /</w:t>
                  </w:r>
                  <w:r w:rsidR="00561C5A" w:rsidRPr="00561C5A">
                    <w:rPr>
                      <w:i/>
                      <w:sz w:val="18"/>
                      <w:szCs w:val="18"/>
                    </w:rPr>
                    <w:t>d</w:t>
                  </w:r>
                  <w:r w:rsidR="00561C5A" w:rsidRPr="00561C5A">
                    <w:rPr>
                      <w:rFonts w:ascii="Symbol" w:hAnsi="Symbol"/>
                      <w:i/>
                      <w:sz w:val="18"/>
                      <w:szCs w:val="18"/>
                    </w:rPr>
                    <w:t></w:t>
                  </w:r>
                  <w:r w:rsidR="00561C5A" w:rsidRPr="00561C5A">
                    <w:rPr>
                      <w:sz w:val="18"/>
                      <w:szCs w:val="18"/>
                    </w:rPr>
                    <w:t>)/</w:t>
                  </w:r>
                  <w:r w:rsidR="00561C5A" w:rsidRPr="00561C5A">
                    <w:rPr>
                      <w:i/>
                      <w:sz w:val="18"/>
                      <w:szCs w:val="18"/>
                    </w:rPr>
                    <w:t>P</w:t>
                  </w:r>
                  <w:r w:rsidR="00561C5A" w:rsidRPr="00561C5A">
                    <w:rPr>
                      <w:i/>
                      <w:sz w:val="18"/>
                      <w:szCs w:val="18"/>
                      <w:vertAlign w:val="subscript"/>
                    </w:rPr>
                    <w:t>0</w:t>
                  </w:r>
                  <w:r w:rsidRPr="00561C5A">
                    <w:rPr>
                      <w:sz w:val="18"/>
                      <w:szCs w:val="18"/>
                    </w:rPr>
                    <w:t xml:space="preserve"> versus</w:t>
                  </w:r>
                  <w:r w:rsidR="00561C5A" w:rsidRPr="00561C5A">
                    <w:rPr>
                      <w:sz w:val="18"/>
                      <w:szCs w:val="18"/>
                    </w:rPr>
                    <w:t xml:space="preserve"> </w:t>
                  </w:r>
                  <w:r w:rsidR="00561C5A" w:rsidRPr="00561C5A">
                    <w:rPr>
                      <w:rFonts w:ascii="Symbol" w:hAnsi="Symbol"/>
                      <w:i/>
                      <w:sz w:val="18"/>
                      <w:szCs w:val="18"/>
                    </w:rPr>
                    <w:t></w:t>
                  </w:r>
                  <w:r w:rsidR="00561C5A" w:rsidRPr="00561C5A">
                    <w:rPr>
                      <w:sz w:val="18"/>
                      <w:szCs w:val="18"/>
                    </w:rPr>
                    <w:t>.</w:t>
                  </w:r>
                </w:p>
              </w:txbxContent>
            </v:textbox>
            <w10:wrap type="tight"/>
          </v:shape>
        </w:pict>
      </w:r>
      <w:r w:rsidR="00337370" w:rsidRPr="00D47953">
        <w:rPr>
          <w:color w:val="auto"/>
          <w:sz w:val="20"/>
          <w:szCs w:val="20"/>
        </w:rPr>
        <w:t>w</w:t>
      </w:r>
      <w:r w:rsidR="00337370" w:rsidRPr="00D47953">
        <w:rPr>
          <w:color w:val="auto"/>
          <w:sz w:val="20"/>
          <w:szCs w:val="20"/>
          <w:lang w:val="en-US"/>
        </w:rPr>
        <w:t xml:space="preserve">here </w:t>
      </w:r>
      <w:r w:rsidR="00475C9E" w:rsidRPr="00475C9E">
        <w:rPr>
          <w:rFonts w:ascii="Symbol" w:hAnsi="Symbol"/>
          <w:i/>
          <w:color w:val="auto"/>
          <w:sz w:val="20"/>
          <w:szCs w:val="20"/>
        </w:rPr>
        <w:t></w:t>
      </w:r>
      <w:r w:rsidR="00475C9E" w:rsidRPr="00475C9E">
        <w:rPr>
          <w:i/>
          <w:color w:val="auto"/>
          <w:sz w:val="20"/>
          <w:szCs w:val="20"/>
          <w:vertAlign w:val="subscript"/>
        </w:rPr>
        <w:t>res</w:t>
      </w:r>
      <w:r w:rsidR="00475C9E">
        <w:rPr>
          <w:i/>
          <w:color w:val="auto"/>
          <w:sz w:val="20"/>
          <w:szCs w:val="20"/>
          <w:vertAlign w:val="subscript"/>
        </w:rPr>
        <w:t xml:space="preserve"> </w:t>
      </w:r>
      <w:r w:rsidR="00337370" w:rsidRPr="00D47953">
        <w:rPr>
          <w:color w:val="auto"/>
          <w:sz w:val="20"/>
          <w:szCs w:val="20"/>
        </w:rPr>
        <w:t>and</w:t>
      </w:r>
      <w:r w:rsidR="00337370" w:rsidRPr="00D47953">
        <w:rPr>
          <w:color w:val="auto"/>
          <w:szCs w:val="20"/>
        </w:rPr>
        <w:t xml:space="preserve"> </w:t>
      </w:r>
      <w:r w:rsidR="00475C9E" w:rsidRPr="00475C9E">
        <w:rPr>
          <w:rFonts w:ascii="Symbol" w:hAnsi="Symbol"/>
          <w:color w:val="auto"/>
          <w:szCs w:val="20"/>
        </w:rPr>
        <w:t></w:t>
      </w:r>
      <w:r w:rsidR="00475C9E" w:rsidRPr="00475C9E">
        <w:rPr>
          <w:rFonts w:ascii="Symbol" w:hAnsi="Symbol"/>
          <w:i/>
          <w:color w:val="auto"/>
          <w:sz w:val="20"/>
          <w:szCs w:val="20"/>
        </w:rPr>
        <w:t></w:t>
      </w:r>
      <w:r w:rsidR="00475C9E">
        <w:rPr>
          <w:i/>
          <w:color w:val="auto"/>
          <w:sz w:val="20"/>
          <w:szCs w:val="20"/>
          <w:vertAlign w:val="subscript"/>
        </w:rPr>
        <w:t xml:space="preserve">LPG </w:t>
      </w:r>
      <w:r w:rsidR="00337370" w:rsidRPr="00D47953">
        <w:rPr>
          <w:color w:val="auto"/>
          <w:sz w:val="20"/>
          <w:szCs w:val="20"/>
        </w:rPr>
        <w:t xml:space="preserve">are the LPG resonance wavelength and spectral width, respectively, and </w:t>
      </w:r>
      <w:r w:rsidR="00337370" w:rsidRPr="00D47953">
        <w:rPr>
          <w:i/>
          <w:color w:val="auto"/>
          <w:sz w:val="20"/>
          <w:szCs w:val="20"/>
        </w:rPr>
        <w:t>m</w:t>
      </w:r>
      <w:r w:rsidR="00337370" w:rsidRPr="00D47953">
        <w:rPr>
          <w:color w:val="auto"/>
          <w:sz w:val="20"/>
          <w:szCs w:val="20"/>
        </w:rPr>
        <w:t xml:space="preserve"> indicates the resonance loss level.</w:t>
      </w:r>
      <w:r w:rsidR="00337370" w:rsidRPr="00D47953">
        <w:rPr>
          <w:color w:val="auto"/>
          <w:szCs w:val="20"/>
        </w:rPr>
        <w:t xml:space="preserve"> </w:t>
      </w:r>
      <w:r w:rsidR="00337370" w:rsidRPr="00D47953">
        <w:rPr>
          <w:color w:val="auto"/>
          <w:sz w:val="20"/>
          <w:szCs w:val="20"/>
        </w:rPr>
        <w:t>For a typical LPG</w:t>
      </w:r>
      <w:r w:rsidR="00337370" w:rsidRPr="00D47953">
        <w:rPr>
          <w:color w:val="auto"/>
          <w:szCs w:val="20"/>
        </w:rPr>
        <w:t xml:space="preserve"> </w:t>
      </w:r>
      <w:r w:rsidR="00337370" w:rsidRPr="00D47953">
        <w:rPr>
          <w:color w:val="auto"/>
          <w:sz w:val="20"/>
          <w:szCs w:val="20"/>
        </w:rPr>
        <w:t xml:space="preserve">with </w:t>
      </w:r>
      <w:r w:rsidR="006E7E0C" w:rsidRPr="00D47953">
        <w:rPr>
          <w:color w:val="auto"/>
          <w:sz w:val="20"/>
          <w:szCs w:val="20"/>
        </w:rPr>
        <w:t xml:space="preserve">20dB </w:t>
      </w:r>
      <w:r w:rsidR="00AA53BF">
        <w:rPr>
          <w:color w:val="auto"/>
          <w:sz w:val="20"/>
          <w:szCs w:val="20"/>
        </w:rPr>
        <w:t xml:space="preserve">of </w:t>
      </w:r>
      <w:r w:rsidR="00DF12CD" w:rsidRPr="00D47953">
        <w:rPr>
          <w:color w:val="auto"/>
          <w:sz w:val="20"/>
          <w:szCs w:val="20"/>
        </w:rPr>
        <w:t>attenuation at</w:t>
      </w:r>
      <w:r w:rsidR="00475C9E">
        <w:rPr>
          <w:color w:val="auto"/>
          <w:sz w:val="20"/>
          <w:szCs w:val="20"/>
        </w:rPr>
        <w:t xml:space="preserve"> </w:t>
      </w:r>
      <w:r w:rsidR="00475C9E" w:rsidRPr="00475C9E">
        <w:rPr>
          <w:rFonts w:ascii="Symbol" w:hAnsi="Symbol"/>
          <w:i/>
          <w:color w:val="auto"/>
          <w:sz w:val="20"/>
          <w:szCs w:val="20"/>
        </w:rPr>
        <w:t></w:t>
      </w:r>
      <w:r w:rsidR="00475C9E" w:rsidRPr="00475C9E">
        <w:rPr>
          <w:i/>
          <w:color w:val="auto"/>
          <w:sz w:val="20"/>
          <w:szCs w:val="20"/>
          <w:vertAlign w:val="subscript"/>
        </w:rPr>
        <w:t>res</w:t>
      </w:r>
      <w:r w:rsidR="00475C9E">
        <w:rPr>
          <w:i/>
          <w:color w:val="auto"/>
          <w:sz w:val="20"/>
          <w:szCs w:val="20"/>
          <w:vertAlign w:val="subscript"/>
        </w:rPr>
        <w:t xml:space="preserve"> </w:t>
      </w:r>
      <w:r w:rsidR="00475C9E">
        <w:rPr>
          <w:color w:val="auto"/>
          <w:sz w:val="20"/>
          <w:szCs w:val="20"/>
        </w:rPr>
        <w:t xml:space="preserve">, </w:t>
      </w:r>
      <w:r w:rsidR="00475C9E" w:rsidRPr="00475C9E">
        <w:rPr>
          <w:i/>
          <w:color w:val="auto"/>
          <w:sz w:val="20"/>
          <w:szCs w:val="20"/>
        </w:rPr>
        <w:t>m</w:t>
      </w:r>
      <w:r w:rsidR="00475C9E">
        <w:rPr>
          <w:color w:val="auto"/>
          <w:sz w:val="20"/>
          <w:szCs w:val="20"/>
        </w:rPr>
        <w:t>=0.99.</w:t>
      </w:r>
      <w:r w:rsidR="00DF12CD" w:rsidRPr="00D47953">
        <w:rPr>
          <w:color w:val="auto"/>
          <w:sz w:val="20"/>
          <w:szCs w:val="20"/>
        </w:rPr>
        <w:t xml:space="preserve"> </w:t>
      </w:r>
      <w:r w:rsidR="009F6CDE" w:rsidRPr="00D70ABE">
        <w:rPr>
          <w:color w:val="auto"/>
          <w:sz w:val="20"/>
          <w:szCs w:val="20"/>
        </w:rPr>
        <w:t xml:space="preserve">Figure 1 shows </w:t>
      </w:r>
      <w:r w:rsidR="00561C5A" w:rsidRPr="00561C5A">
        <w:rPr>
          <w:i/>
          <w:color w:val="auto"/>
          <w:sz w:val="20"/>
          <w:szCs w:val="20"/>
        </w:rPr>
        <w:t>P</w:t>
      </w:r>
      <w:r w:rsidR="00561C5A" w:rsidRPr="00561C5A">
        <w:rPr>
          <w:i/>
          <w:color w:val="auto"/>
          <w:sz w:val="20"/>
          <w:szCs w:val="20"/>
          <w:vertAlign w:val="subscript"/>
        </w:rPr>
        <w:t>out</w:t>
      </w:r>
      <w:r w:rsidR="00561C5A">
        <w:rPr>
          <w:color w:val="auto"/>
          <w:sz w:val="20"/>
          <w:szCs w:val="20"/>
        </w:rPr>
        <w:t xml:space="preserve"> (</w:t>
      </w:r>
      <w:r w:rsidR="00561C5A" w:rsidRPr="00561C5A">
        <w:rPr>
          <w:rFonts w:ascii="Symbol" w:hAnsi="Symbol"/>
          <w:i/>
          <w:color w:val="auto"/>
          <w:sz w:val="20"/>
          <w:szCs w:val="20"/>
        </w:rPr>
        <w:t></w:t>
      </w:r>
      <w:r w:rsidR="00561C5A">
        <w:rPr>
          <w:color w:val="auto"/>
          <w:sz w:val="20"/>
          <w:szCs w:val="20"/>
        </w:rPr>
        <w:t>)/</w:t>
      </w:r>
      <w:r w:rsidR="00561C5A" w:rsidRPr="00561C5A">
        <w:rPr>
          <w:i/>
          <w:color w:val="auto"/>
          <w:sz w:val="20"/>
          <w:szCs w:val="20"/>
        </w:rPr>
        <w:t>P</w:t>
      </w:r>
      <w:r w:rsidR="00561C5A" w:rsidRPr="00561C5A">
        <w:rPr>
          <w:i/>
          <w:color w:val="auto"/>
          <w:sz w:val="20"/>
          <w:szCs w:val="20"/>
          <w:vertAlign w:val="subscript"/>
        </w:rPr>
        <w:t>0</w:t>
      </w:r>
      <w:r w:rsidR="009F6CDE" w:rsidRPr="00D70ABE">
        <w:rPr>
          <w:color w:val="auto"/>
          <w:sz w:val="20"/>
          <w:szCs w:val="20"/>
        </w:rPr>
        <w:t xml:space="preserve"> as well as </w:t>
      </w:r>
      <w:r w:rsidR="00561C5A">
        <w:rPr>
          <w:color w:val="auto"/>
          <w:sz w:val="20"/>
          <w:szCs w:val="20"/>
        </w:rPr>
        <w:t>(</w:t>
      </w:r>
      <w:r w:rsidR="00561C5A" w:rsidRPr="00561C5A">
        <w:rPr>
          <w:i/>
          <w:color w:val="auto"/>
          <w:sz w:val="20"/>
          <w:szCs w:val="20"/>
        </w:rPr>
        <w:t>dP</w:t>
      </w:r>
      <w:r w:rsidR="00561C5A" w:rsidRPr="00561C5A">
        <w:rPr>
          <w:i/>
          <w:color w:val="auto"/>
          <w:sz w:val="20"/>
          <w:szCs w:val="20"/>
          <w:vertAlign w:val="subscript"/>
        </w:rPr>
        <w:t>out</w:t>
      </w:r>
      <w:r w:rsidR="00561C5A">
        <w:rPr>
          <w:color w:val="auto"/>
          <w:sz w:val="20"/>
          <w:szCs w:val="20"/>
        </w:rPr>
        <w:t xml:space="preserve"> /</w:t>
      </w:r>
      <w:r w:rsidR="00561C5A" w:rsidRPr="00561C5A">
        <w:rPr>
          <w:i/>
          <w:color w:val="auto"/>
          <w:sz w:val="20"/>
          <w:szCs w:val="20"/>
        </w:rPr>
        <w:t>d</w:t>
      </w:r>
      <w:r w:rsidR="00561C5A" w:rsidRPr="00561C5A">
        <w:rPr>
          <w:rFonts w:ascii="Symbol" w:hAnsi="Symbol"/>
          <w:i/>
          <w:color w:val="auto"/>
          <w:sz w:val="20"/>
          <w:szCs w:val="20"/>
        </w:rPr>
        <w:t></w:t>
      </w:r>
      <w:r w:rsidR="00561C5A">
        <w:rPr>
          <w:color w:val="auto"/>
          <w:sz w:val="20"/>
          <w:szCs w:val="20"/>
        </w:rPr>
        <w:t>)/</w:t>
      </w:r>
      <w:r w:rsidR="00561C5A" w:rsidRPr="00561C5A">
        <w:rPr>
          <w:i/>
          <w:color w:val="auto"/>
          <w:sz w:val="20"/>
          <w:szCs w:val="20"/>
        </w:rPr>
        <w:t>P</w:t>
      </w:r>
      <w:r w:rsidR="00561C5A" w:rsidRPr="00561C5A">
        <w:rPr>
          <w:i/>
          <w:color w:val="auto"/>
          <w:sz w:val="20"/>
          <w:szCs w:val="20"/>
          <w:vertAlign w:val="subscript"/>
        </w:rPr>
        <w:t>0</w:t>
      </w:r>
      <w:r w:rsidR="00561C5A" w:rsidRPr="00D70ABE">
        <w:rPr>
          <w:color w:val="auto"/>
          <w:sz w:val="20"/>
          <w:szCs w:val="20"/>
        </w:rPr>
        <w:t xml:space="preserve"> </w:t>
      </w:r>
      <w:r w:rsidR="009F6CDE" w:rsidRPr="00D70ABE">
        <w:rPr>
          <w:color w:val="auto"/>
          <w:sz w:val="20"/>
          <w:szCs w:val="20"/>
        </w:rPr>
        <w:t>versus</w:t>
      </w:r>
      <w:r w:rsidR="00561C5A" w:rsidRPr="00561C5A">
        <w:rPr>
          <w:rFonts w:ascii="Symbol" w:hAnsi="Symbol"/>
          <w:i/>
          <w:color w:val="auto"/>
          <w:sz w:val="20"/>
          <w:szCs w:val="20"/>
        </w:rPr>
        <w:t></w:t>
      </w:r>
      <w:r w:rsidR="00561C5A" w:rsidRPr="00561C5A">
        <w:rPr>
          <w:rFonts w:ascii="Symbol" w:hAnsi="Symbol"/>
          <w:i/>
          <w:color w:val="auto"/>
          <w:sz w:val="20"/>
          <w:szCs w:val="20"/>
        </w:rPr>
        <w:t></w:t>
      </w:r>
      <w:r w:rsidR="009F6CDE" w:rsidRPr="00D70ABE">
        <w:rPr>
          <w:color w:val="auto"/>
          <w:sz w:val="20"/>
          <w:szCs w:val="20"/>
        </w:rPr>
        <w:t xml:space="preserve">. It can be observed that the magnitude of the normalized slope variation along the full LPG response is approximately one order of magnitude smaller than the normalized optical power variation, which means a corresponding factor for the signal variations associated with </w:t>
      </w:r>
      <w:r w:rsidR="00561C5A" w:rsidRPr="00561C5A">
        <w:rPr>
          <w:i/>
          <w:color w:val="auto"/>
          <w:sz w:val="20"/>
          <w:szCs w:val="20"/>
        </w:rPr>
        <w:t>P</w:t>
      </w:r>
      <w:r w:rsidR="00561C5A" w:rsidRPr="00561C5A">
        <w:rPr>
          <w:i/>
          <w:color w:val="auto"/>
          <w:sz w:val="20"/>
          <w:szCs w:val="20"/>
          <w:vertAlign w:val="subscript"/>
        </w:rPr>
        <w:t>out</w:t>
      </w:r>
      <w:r w:rsidR="00561C5A">
        <w:rPr>
          <w:color w:val="auto"/>
          <w:sz w:val="20"/>
          <w:szCs w:val="20"/>
        </w:rPr>
        <w:t xml:space="preserve"> (</w:t>
      </w:r>
      <w:r w:rsidR="00561C5A" w:rsidRPr="00561C5A">
        <w:rPr>
          <w:rFonts w:ascii="Symbol" w:hAnsi="Symbol"/>
          <w:i/>
          <w:color w:val="auto"/>
          <w:sz w:val="20"/>
          <w:szCs w:val="20"/>
        </w:rPr>
        <w:t></w:t>
      </w:r>
      <w:r w:rsidR="00561C5A">
        <w:rPr>
          <w:color w:val="auto"/>
          <w:sz w:val="20"/>
          <w:szCs w:val="20"/>
        </w:rPr>
        <w:t>)/</w:t>
      </w:r>
      <w:r w:rsidR="00561C5A" w:rsidRPr="00561C5A">
        <w:rPr>
          <w:i/>
          <w:color w:val="auto"/>
          <w:sz w:val="20"/>
          <w:szCs w:val="20"/>
        </w:rPr>
        <w:t>P</w:t>
      </w:r>
      <w:r w:rsidR="00561C5A" w:rsidRPr="00561C5A">
        <w:rPr>
          <w:i/>
          <w:color w:val="auto"/>
          <w:sz w:val="20"/>
          <w:szCs w:val="20"/>
          <w:vertAlign w:val="subscript"/>
        </w:rPr>
        <w:t>0</w:t>
      </w:r>
      <w:r w:rsidR="00561C5A" w:rsidRPr="00D70ABE">
        <w:rPr>
          <w:color w:val="auto"/>
          <w:sz w:val="20"/>
          <w:szCs w:val="20"/>
        </w:rPr>
        <w:t xml:space="preserve"> </w:t>
      </w:r>
      <w:r w:rsidR="009F6CDE" w:rsidRPr="00D70ABE">
        <w:rPr>
          <w:color w:val="auto"/>
          <w:sz w:val="20"/>
          <w:szCs w:val="20"/>
        </w:rPr>
        <w:t>or</w:t>
      </w:r>
      <w:r w:rsidR="00561C5A">
        <w:rPr>
          <w:color w:val="auto"/>
          <w:sz w:val="20"/>
          <w:szCs w:val="20"/>
        </w:rPr>
        <w:t xml:space="preserve"> (</w:t>
      </w:r>
      <w:r w:rsidR="00561C5A" w:rsidRPr="00561C5A">
        <w:rPr>
          <w:i/>
          <w:color w:val="auto"/>
          <w:sz w:val="20"/>
          <w:szCs w:val="20"/>
        </w:rPr>
        <w:t>dP</w:t>
      </w:r>
      <w:r w:rsidR="00561C5A" w:rsidRPr="00561C5A">
        <w:rPr>
          <w:i/>
          <w:color w:val="auto"/>
          <w:sz w:val="20"/>
          <w:szCs w:val="20"/>
          <w:vertAlign w:val="subscript"/>
        </w:rPr>
        <w:t>out</w:t>
      </w:r>
      <w:r w:rsidR="00561C5A">
        <w:rPr>
          <w:color w:val="auto"/>
          <w:sz w:val="20"/>
          <w:szCs w:val="20"/>
        </w:rPr>
        <w:t xml:space="preserve"> /</w:t>
      </w:r>
      <w:r w:rsidR="00561C5A" w:rsidRPr="00561C5A">
        <w:rPr>
          <w:i/>
          <w:color w:val="auto"/>
          <w:sz w:val="20"/>
          <w:szCs w:val="20"/>
        </w:rPr>
        <w:t>d</w:t>
      </w:r>
      <w:r w:rsidR="00561C5A" w:rsidRPr="00561C5A">
        <w:rPr>
          <w:rFonts w:ascii="Symbol" w:hAnsi="Symbol"/>
          <w:i/>
          <w:color w:val="auto"/>
          <w:sz w:val="20"/>
          <w:szCs w:val="20"/>
        </w:rPr>
        <w:t></w:t>
      </w:r>
      <w:r w:rsidR="00561C5A">
        <w:rPr>
          <w:color w:val="auto"/>
          <w:sz w:val="20"/>
          <w:szCs w:val="20"/>
        </w:rPr>
        <w:t>)/</w:t>
      </w:r>
      <w:r w:rsidR="00561C5A" w:rsidRPr="00561C5A">
        <w:rPr>
          <w:i/>
          <w:color w:val="auto"/>
          <w:sz w:val="20"/>
          <w:szCs w:val="20"/>
        </w:rPr>
        <w:t>P</w:t>
      </w:r>
      <w:r w:rsidR="00561C5A" w:rsidRPr="00561C5A">
        <w:rPr>
          <w:i/>
          <w:color w:val="auto"/>
          <w:sz w:val="20"/>
          <w:szCs w:val="20"/>
          <w:vertAlign w:val="subscript"/>
        </w:rPr>
        <w:t>0</w:t>
      </w:r>
      <w:r w:rsidR="00561C5A" w:rsidRPr="00D70ABE">
        <w:rPr>
          <w:color w:val="auto"/>
          <w:sz w:val="20"/>
          <w:szCs w:val="20"/>
        </w:rPr>
        <w:t xml:space="preserve"> </w:t>
      </w:r>
      <w:r w:rsidR="009F6CDE" w:rsidRPr="00D70ABE">
        <w:rPr>
          <w:color w:val="auto"/>
          <w:sz w:val="20"/>
          <w:szCs w:val="20"/>
        </w:rPr>
        <w:t>and with origin at a LPG spectral shift relative to fixed wavelength values (that can be defined by FBGs). Therefore, from this argument it seems that the preferable option should be to monitor</w:t>
      </w:r>
      <w:r w:rsidR="00561C5A" w:rsidRPr="00561C5A">
        <w:rPr>
          <w:i/>
          <w:color w:val="auto"/>
          <w:sz w:val="20"/>
          <w:szCs w:val="20"/>
        </w:rPr>
        <w:t xml:space="preserve"> P</w:t>
      </w:r>
      <w:r w:rsidR="00561C5A" w:rsidRPr="00561C5A">
        <w:rPr>
          <w:i/>
          <w:color w:val="auto"/>
          <w:sz w:val="20"/>
          <w:szCs w:val="20"/>
          <w:vertAlign w:val="subscript"/>
        </w:rPr>
        <w:t>out</w:t>
      </w:r>
      <w:r w:rsidR="00561C5A">
        <w:rPr>
          <w:color w:val="auto"/>
          <w:sz w:val="20"/>
          <w:szCs w:val="20"/>
        </w:rPr>
        <w:t xml:space="preserve"> (</w:t>
      </w:r>
      <w:r w:rsidR="00561C5A" w:rsidRPr="00561C5A">
        <w:rPr>
          <w:rFonts w:ascii="Symbol" w:hAnsi="Symbol"/>
          <w:i/>
          <w:color w:val="auto"/>
          <w:sz w:val="20"/>
          <w:szCs w:val="20"/>
        </w:rPr>
        <w:t></w:t>
      </w:r>
      <w:r w:rsidR="00561C5A">
        <w:rPr>
          <w:color w:val="auto"/>
          <w:sz w:val="20"/>
          <w:szCs w:val="20"/>
        </w:rPr>
        <w:t>)/</w:t>
      </w:r>
      <w:r w:rsidR="00561C5A" w:rsidRPr="00561C5A">
        <w:rPr>
          <w:i/>
          <w:color w:val="auto"/>
          <w:sz w:val="20"/>
          <w:szCs w:val="20"/>
        </w:rPr>
        <w:t>P</w:t>
      </w:r>
      <w:r w:rsidR="00561C5A" w:rsidRPr="00561C5A">
        <w:rPr>
          <w:i/>
          <w:color w:val="auto"/>
          <w:sz w:val="20"/>
          <w:szCs w:val="20"/>
          <w:vertAlign w:val="subscript"/>
        </w:rPr>
        <w:t>0</w:t>
      </w:r>
      <w:r w:rsidR="009F6CDE" w:rsidRPr="00D70ABE">
        <w:rPr>
          <w:color w:val="auto"/>
          <w:sz w:val="20"/>
          <w:szCs w:val="20"/>
        </w:rPr>
        <w:t xml:space="preserve">, i.e., following the standard approach. However, this is a DC reading, consequently affected by low-frequency noise, which usually has a </w:t>
      </w:r>
      <w:r w:rsidR="009F6CDE" w:rsidRPr="00D70ABE">
        <w:rPr>
          <w:i/>
          <w:color w:val="auto"/>
          <w:sz w:val="20"/>
          <w:szCs w:val="20"/>
        </w:rPr>
        <w:t>1/f</w:t>
      </w:r>
      <w:r w:rsidR="009F6CDE" w:rsidRPr="00D70ABE">
        <w:rPr>
          <w:color w:val="auto"/>
          <w:sz w:val="20"/>
          <w:szCs w:val="20"/>
        </w:rPr>
        <w:t xml:space="preserve"> power spectral dependence.</w:t>
      </w:r>
      <w:r w:rsidR="009F6CDE" w:rsidRPr="009F6CDE">
        <w:rPr>
          <w:noProof/>
          <w:color w:val="auto"/>
          <w:sz w:val="20"/>
          <w:szCs w:val="20"/>
          <w:lang w:val="en-US" w:eastAsia="zh-TW"/>
        </w:rPr>
        <w:t xml:space="preserve"> </w:t>
      </w:r>
      <w:r w:rsidR="009A10CA" w:rsidRPr="00D47953">
        <w:rPr>
          <w:color w:val="auto"/>
          <w:sz w:val="20"/>
          <w:szCs w:val="20"/>
        </w:rPr>
        <w:t xml:space="preserve">On the other hand, the slope approach is compatible with interrogation in a frequency range far from the </w:t>
      </w:r>
      <w:r w:rsidR="009A10CA" w:rsidRPr="00D47953">
        <w:rPr>
          <w:i/>
          <w:color w:val="auto"/>
          <w:sz w:val="20"/>
          <w:szCs w:val="20"/>
        </w:rPr>
        <w:t>1/f</w:t>
      </w:r>
      <w:r w:rsidR="00442BDF" w:rsidRPr="00D47953">
        <w:rPr>
          <w:color w:val="auto"/>
          <w:sz w:val="20"/>
          <w:szCs w:val="20"/>
        </w:rPr>
        <w:t xml:space="preserve"> noise region, which means</w:t>
      </w:r>
      <w:r w:rsidR="009A10CA" w:rsidRPr="00D47953">
        <w:rPr>
          <w:color w:val="auto"/>
          <w:sz w:val="20"/>
          <w:szCs w:val="20"/>
        </w:rPr>
        <w:t xml:space="preserve"> the signal-to-noise ratio can </w:t>
      </w:r>
      <w:r w:rsidR="00442BDF" w:rsidRPr="00D47953">
        <w:rPr>
          <w:color w:val="auto"/>
          <w:sz w:val="20"/>
          <w:szCs w:val="20"/>
        </w:rPr>
        <w:t xml:space="preserve">eventually </w:t>
      </w:r>
      <w:r w:rsidR="009A10CA" w:rsidRPr="00D47953">
        <w:rPr>
          <w:color w:val="auto"/>
          <w:sz w:val="20"/>
          <w:szCs w:val="20"/>
        </w:rPr>
        <w:t>be favoured by the reduction</w:t>
      </w:r>
      <w:r w:rsidR="008C3C1F" w:rsidRPr="00D47953">
        <w:rPr>
          <w:color w:val="auto"/>
          <w:sz w:val="20"/>
          <w:szCs w:val="20"/>
        </w:rPr>
        <w:t xml:space="preserve"> of the noise level, eventually</w:t>
      </w:r>
      <w:r w:rsidR="00442BDF" w:rsidRPr="00D47953">
        <w:rPr>
          <w:color w:val="auto"/>
          <w:sz w:val="20"/>
          <w:szCs w:val="20"/>
        </w:rPr>
        <w:t xml:space="preserve"> </w:t>
      </w:r>
      <w:r w:rsidR="009A10CA" w:rsidRPr="00D47953">
        <w:rPr>
          <w:color w:val="auto"/>
          <w:sz w:val="20"/>
          <w:szCs w:val="20"/>
        </w:rPr>
        <w:t xml:space="preserve">compensating </w:t>
      </w:r>
      <w:r w:rsidR="008C3C1F" w:rsidRPr="00D47953">
        <w:rPr>
          <w:color w:val="auto"/>
          <w:sz w:val="20"/>
          <w:szCs w:val="20"/>
        </w:rPr>
        <w:t xml:space="preserve">with advantage </w:t>
      </w:r>
      <w:r w:rsidR="00E8008C" w:rsidRPr="00475C9E">
        <w:rPr>
          <w:color w:val="auto"/>
          <w:sz w:val="20"/>
          <w:szCs w:val="20"/>
        </w:rPr>
        <w:t>of</w:t>
      </w:r>
      <w:r w:rsidR="00E8008C">
        <w:rPr>
          <w:color w:val="auto"/>
          <w:sz w:val="20"/>
          <w:szCs w:val="20"/>
        </w:rPr>
        <w:t xml:space="preserve"> </w:t>
      </w:r>
      <w:r w:rsidR="009A10CA" w:rsidRPr="00D47953">
        <w:rPr>
          <w:color w:val="auto"/>
          <w:sz w:val="20"/>
          <w:szCs w:val="20"/>
        </w:rPr>
        <w:t>the reduction in signal amplitude.</w:t>
      </w:r>
    </w:p>
    <w:p w:rsidR="00A67FB2" w:rsidRPr="00D47953" w:rsidRDefault="00A67FB2" w:rsidP="00A67FB2">
      <w:pPr>
        <w:pStyle w:val="NormalWeb"/>
        <w:spacing w:before="0" w:beforeAutospacing="0" w:after="0" w:afterAutospacing="0"/>
        <w:jc w:val="both"/>
        <w:rPr>
          <w:color w:val="auto"/>
          <w:sz w:val="20"/>
          <w:szCs w:val="20"/>
        </w:rPr>
      </w:pPr>
    </w:p>
    <w:tbl>
      <w:tblPr>
        <w:tblW w:w="9397" w:type="dxa"/>
        <w:jc w:val="center"/>
        <w:tblInd w:w="861" w:type="dxa"/>
        <w:tblLook w:val="04A0"/>
      </w:tblPr>
      <w:tblGrid>
        <w:gridCol w:w="4359"/>
        <w:gridCol w:w="5038"/>
      </w:tblGrid>
      <w:tr w:rsidR="00A67FB2" w:rsidRPr="00D47953" w:rsidTr="00A67FB2">
        <w:trPr>
          <w:jc w:val="center"/>
        </w:trPr>
        <w:tc>
          <w:tcPr>
            <w:tcW w:w="4359" w:type="dxa"/>
          </w:tcPr>
          <w:p w:rsidR="00A67FB2" w:rsidRPr="00D47953" w:rsidRDefault="00A67FB2" w:rsidP="00A67FB2">
            <w:pPr>
              <w:jc w:val="center"/>
            </w:pPr>
            <w:r w:rsidRPr="00D47953">
              <w:object w:dxaOrig="5761" w:dyaOrig="5278">
                <v:shape id="_x0000_i1027" type="#_x0000_t75" style="width:158.05pt;height:143.05pt" o:ole="">
                  <v:imagedata r:id="rId14" o:title=""/>
                </v:shape>
                <o:OLEObject Type="Embed" ProgID="Visio.Drawing.11" ShapeID="_x0000_i1027" DrawAspect="Content" ObjectID="_1340432398" r:id="rId15"/>
              </w:object>
            </w:r>
          </w:p>
        </w:tc>
        <w:tc>
          <w:tcPr>
            <w:tcW w:w="5038" w:type="dxa"/>
          </w:tcPr>
          <w:p w:rsidR="00A67FB2" w:rsidRPr="00D47953" w:rsidRDefault="00A67FB2" w:rsidP="00A67FB2">
            <w:pPr>
              <w:pStyle w:val="Legenda"/>
              <w:jc w:val="center"/>
            </w:pPr>
            <w:r w:rsidRPr="00D47953">
              <w:rPr>
                <w:lang w:val="en-GB"/>
              </w:rPr>
              <w:object w:dxaOrig="6542" w:dyaOrig="4569">
                <v:shape id="_x0000_i1028" type="#_x0000_t75" style="width:210.4pt;height:147.75pt" o:ole="">
                  <v:imagedata r:id="rId16" o:title=""/>
                </v:shape>
                <o:OLEObject Type="Embed" ProgID="Origin50.Graph" ShapeID="_x0000_i1028" DrawAspect="Content" ObjectID="_1340432399" r:id="rId17"/>
              </w:object>
            </w:r>
          </w:p>
        </w:tc>
      </w:tr>
      <w:tr w:rsidR="00A67FB2" w:rsidRPr="00D47953" w:rsidTr="00A67FB2">
        <w:trPr>
          <w:jc w:val="center"/>
        </w:trPr>
        <w:tc>
          <w:tcPr>
            <w:tcW w:w="4359" w:type="dxa"/>
          </w:tcPr>
          <w:p w:rsidR="00A67FB2" w:rsidRPr="00D47953" w:rsidRDefault="00A67FB2" w:rsidP="00A67FB2">
            <w:pPr>
              <w:pStyle w:val="Legenda"/>
              <w:jc w:val="center"/>
              <w:rPr>
                <w:b w:val="0"/>
              </w:rPr>
            </w:pPr>
            <w:r w:rsidRPr="00D47953">
              <w:rPr>
                <w:b w:val="0"/>
                <w:sz w:val="18"/>
                <w:szCs w:val="18"/>
              </w:rPr>
              <w:t xml:space="preserve">Figure </w:t>
            </w:r>
            <w:r w:rsidR="008337C9" w:rsidRPr="00D47953">
              <w:rPr>
                <w:b w:val="0"/>
                <w:sz w:val="18"/>
                <w:szCs w:val="18"/>
              </w:rPr>
              <w:fldChar w:fldCharType="begin"/>
            </w:r>
            <w:r w:rsidRPr="00D47953">
              <w:rPr>
                <w:b w:val="0"/>
                <w:sz w:val="18"/>
                <w:szCs w:val="18"/>
              </w:rPr>
              <w:instrText xml:space="preserve"> SEQ Figure \* ARABIC </w:instrText>
            </w:r>
            <w:r w:rsidR="008337C9" w:rsidRPr="00D47953">
              <w:rPr>
                <w:b w:val="0"/>
                <w:sz w:val="18"/>
                <w:szCs w:val="18"/>
              </w:rPr>
              <w:fldChar w:fldCharType="separate"/>
            </w:r>
            <w:r w:rsidR="00117E86">
              <w:rPr>
                <w:b w:val="0"/>
                <w:noProof/>
                <w:sz w:val="18"/>
                <w:szCs w:val="18"/>
              </w:rPr>
              <w:t>2</w:t>
            </w:r>
            <w:r w:rsidR="008337C9" w:rsidRPr="00D47953">
              <w:rPr>
                <w:b w:val="0"/>
                <w:sz w:val="18"/>
                <w:szCs w:val="18"/>
              </w:rPr>
              <w:fldChar w:fldCharType="end"/>
            </w:r>
            <w:r w:rsidRPr="00D47953">
              <w:rPr>
                <w:b w:val="0"/>
                <w:sz w:val="18"/>
                <w:szCs w:val="18"/>
              </w:rPr>
              <w:t xml:space="preserve"> – Experimental setup to test the LPG dynamic interrogation approach</w:t>
            </w:r>
            <w:r w:rsidRPr="00D47953">
              <w:rPr>
                <w:b w:val="0"/>
              </w:rPr>
              <w:t>.</w:t>
            </w:r>
          </w:p>
        </w:tc>
        <w:tc>
          <w:tcPr>
            <w:tcW w:w="5038" w:type="dxa"/>
          </w:tcPr>
          <w:p w:rsidR="00A67FB2" w:rsidRPr="00D47953" w:rsidRDefault="00A67FB2" w:rsidP="00632662">
            <w:pPr>
              <w:pStyle w:val="Legenda"/>
              <w:jc w:val="center"/>
              <w:rPr>
                <w:sz w:val="18"/>
                <w:szCs w:val="18"/>
              </w:rPr>
            </w:pPr>
            <w:r w:rsidRPr="00D47953">
              <w:rPr>
                <w:b w:val="0"/>
                <w:sz w:val="18"/>
                <w:szCs w:val="18"/>
              </w:rPr>
              <w:t xml:space="preserve">Figure </w:t>
            </w:r>
            <w:r w:rsidR="008337C9" w:rsidRPr="00D47953">
              <w:rPr>
                <w:b w:val="0"/>
                <w:sz w:val="18"/>
                <w:szCs w:val="18"/>
              </w:rPr>
              <w:fldChar w:fldCharType="begin"/>
            </w:r>
            <w:r w:rsidRPr="00D47953">
              <w:rPr>
                <w:b w:val="0"/>
                <w:sz w:val="18"/>
                <w:szCs w:val="18"/>
              </w:rPr>
              <w:instrText xml:space="preserve"> SEQ Figure \* ARABIC </w:instrText>
            </w:r>
            <w:r w:rsidR="008337C9" w:rsidRPr="00D47953">
              <w:rPr>
                <w:b w:val="0"/>
                <w:sz w:val="18"/>
                <w:szCs w:val="18"/>
              </w:rPr>
              <w:fldChar w:fldCharType="separate"/>
            </w:r>
            <w:r w:rsidR="00117E86">
              <w:rPr>
                <w:b w:val="0"/>
                <w:noProof/>
                <w:sz w:val="18"/>
                <w:szCs w:val="18"/>
              </w:rPr>
              <w:t>3</w:t>
            </w:r>
            <w:r w:rsidR="008337C9" w:rsidRPr="00D47953">
              <w:rPr>
                <w:b w:val="0"/>
                <w:sz w:val="18"/>
                <w:szCs w:val="18"/>
              </w:rPr>
              <w:fldChar w:fldCharType="end"/>
            </w:r>
            <w:r w:rsidRPr="00D47953">
              <w:rPr>
                <w:b w:val="0"/>
                <w:sz w:val="18"/>
                <w:szCs w:val="18"/>
              </w:rPr>
              <w:t xml:space="preserve"> – Optical </w:t>
            </w:r>
            <w:r w:rsidR="00632662">
              <w:rPr>
                <w:b w:val="0"/>
                <w:sz w:val="18"/>
                <w:szCs w:val="18"/>
              </w:rPr>
              <w:t>spectra</w:t>
            </w:r>
            <w:r w:rsidR="00632662" w:rsidRPr="00D47953">
              <w:rPr>
                <w:b w:val="0"/>
                <w:sz w:val="18"/>
                <w:szCs w:val="18"/>
              </w:rPr>
              <w:t xml:space="preserve"> </w:t>
            </w:r>
            <w:r w:rsidRPr="00D47953">
              <w:rPr>
                <w:b w:val="0"/>
                <w:sz w:val="18"/>
                <w:szCs w:val="18"/>
              </w:rPr>
              <w:t>of the FBGs and LPG in air and water.</w:t>
            </w:r>
          </w:p>
        </w:tc>
      </w:tr>
    </w:tbl>
    <w:p w:rsidR="00E70310" w:rsidRPr="00D47953" w:rsidRDefault="00442BDF" w:rsidP="00561C5A">
      <w:pPr>
        <w:pStyle w:val="BodyofPaper"/>
        <w:spacing w:before="120"/>
      </w:pPr>
      <w:r w:rsidRPr="00D47953">
        <w:t>To evaluate the feasibility of the proposed interrogation approach the</w:t>
      </w:r>
      <w:r w:rsidR="00FF5E1A" w:rsidRPr="00D47953">
        <w:t xml:space="preserve"> setup presented in </w:t>
      </w:r>
      <w:r w:rsidRPr="00D47953">
        <w:t>Figure 2 was implemented</w:t>
      </w:r>
      <w:r w:rsidR="00FF5E1A" w:rsidRPr="00D47953">
        <w:t xml:space="preserve">. </w:t>
      </w:r>
      <w:r w:rsidR="00A67FB2" w:rsidRPr="00D47953">
        <w:t>A LPG with a strong resonance centered at 1550 nm (Figure 3) was fabricated using the electric arc technique (period of the refractive index modulation: Λ = 395 μm; coupling to a 5</w:t>
      </w:r>
      <w:r w:rsidR="00A67FB2" w:rsidRPr="00D47953">
        <w:rPr>
          <w:vertAlign w:val="superscript"/>
        </w:rPr>
        <w:t>th</w:t>
      </w:r>
      <w:r w:rsidR="00A67FB2" w:rsidRPr="00D47953">
        <w:t xml:space="preserve"> order cladding mode).</w:t>
      </w:r>
      <w:r w:rsidR="00561C5A">
        <w:t xml:space="preserve"> </w:t>
      </w:r>
      <w:r w:rsidR="00A67FB2" w:rsidRPr="00D47953">
        <w:t xml:space="preserve">The LPG </w:t>
      </w:r>
      <w:r w:rsidR="00D441AF" w:rsidRPr="00D47953">
        <w:t>was placed</w:t>
      </w:r>
      <w:r w:rsidR="006B39AB" w:rsidRPr="00D47953">
        <w:t xml:space="preserve"> into </w:t>
      </w:r>
      <w:r w:rsidR="00D441AF" w:rsidRPr="00D47953">
        <w:t>a recipient with an</w:t>
      </w:r>
      <w:r w:rsidR="00FF5E1A" w:rsidRPr="00D47953">
        <w:t xml:space="preserve"> aqueous solution </w:t>
      </w:r>
      <w:r w:rsidR="00D441AF" w:rsidRPr="00D47953">
        <w:t>of ethylene glycol</w:t>
      </w:r>
      <w:r w:rsidR="00FF5E1A" w:rsidRPr="00D47953">
        <w:t xml:space="preserve"> and illuminated by means of an ASE broadband source. The optical fibre at the LPG right side was mirrored with silver nitrate allowing the sensing head </w:t>
      </w:r>
      <w:r w:rsidR="00920BEB" w:rsidRPr="00D47953">
        <w:t xml:space="preserve">to operate </w:t>
      </w:r>
      <w:r w:rsidR="00FF5E1A" w:rsidRPr="00D47953">
        <w:t xml:space="preserve">in reflection. Two </w:t>
      </w:r>
      <w:r w:rsidR="00857E67" w:rsidRPr="00D47953">
        <w:t>fibre</w:t>
      </w:r>
      <w:r w:rsidR="00FF5E1A" w:rsidRPr="00D47953">
        <w:t xml:space="preserve"> Bragg gratings</w:t>
      </w:r>
      <w:r w:rsidR="004825F8" w:rsidRPr="00D47953">
        <w:t xml:space="preserve"> (FBG</w:t>
      </w:r>
      <w:r w:rsidR="004825F8" w:rsidRPr="00D47953">
        <w:rPr>
          <w:vertAlign w:val="subscript"/>
        </w:rPr>
        <w:t>1</w:t>
      </w:r>
      <w:r w:rsidR="004825F8" w:rsidRPr="00D47953">
        <w:t>, FBG</w:t>
      </w:r>
      <w:r w:rsidR="00D441AF" w:rsidRPr="00D47953">
        <w:rPr>
          <w:vertAlign w:val="subscript"/>
        </w:rPr>
        <w:t>2</w:t>
      </w:r>
      <w:r w:rsidR="00D441AF" w:rsidRPr="00D47953">
        <w:t>), designed to be spectrally located</w:t>
      </w:r>
      <w:r w:rsidR="00920BEB" w:rsidRPr="00D47953">
        <w:t xml:space="preserve"> in each edge of the LPG (</w:t>
      </w:r>
      <w:r w:rsidR="00920BEB" w:rsidRPr="00475C9E">
        <w:rPr>
          <w:i/>
        </w:rPr>
        <w:sym w:font="Symbol" w:char="F06C"/>
      </w:r>
      <w:r w:rsidR="00920BEB" w:rsidRPr="00D47953">
        <w:rPr>
          <w:vertAlign w:val="subscript"/>
        </w:rPr>
        <w:t>1</w:t>
      </w:r>
      <w:r w:rsidR="00920BEB" w:rsidRPr="00D47953">
        <w:t xml:space="preserve">, </w:t>
      </w:r>
      <w:r w:rsidR="00920BEB" w:rsidRPr="00475C9E">
        <w:rPr>
          <w:i/>
        </w:rPr>
        <w:sym w:font="Symbol" w:char="F06C"/>
      </w:r>
      <w:r w:rsidR="00920BEB" w:rsidRPr="00D47953">
        <w:rPr>
          <w:vertAlign w:val="subscript"/>
        </w:rPr>
        <w:t>2</w:t>
      </w:r>
      <w:r w:rsidR="00D441AF" w:rsidRPr="00D47953">
        <w:t>; Figure 3</w:t>
      </w:r>
      <w:r w:rsidR="00920BEB" w:rsidRPr="00D47953">
        <w:t>),</w:t>
      </w:r>
      <w:r w:rsidR="00D441AF" w:rsidRPr="00D47953">
        <w:t xml:space="preserve"> had their Bragg wavelengths sinewave modulated </w:t>
      </w:r>
      <w:r w:rsidR="00C25E96" w:rsidRPr="00D47953">
        <w:t xml:space="preserve">with a fixed amplitude </w:t>
      </w:r>
      <w:r w:rsidR="00D441AF" w:rsidRPr="00D47953">
        <w:t>using</w:t>
      </w:r>
      <w:r w:rsidR="00FF5E1A" w:rsidRPr="00D47953">
        <w:t xml:space="preserve"> </w:t>
      </w:r>
      <w:r w:rsidR="00D441AF" w:rsidRPr="00D47953">
        <w:t xml:space="preserve">two piezoelectric transducers driven by two </w:t>
      </w:r>
      <w:r w:rsidR="00FF5E1A" w:rsidRPr="00D47953">
        <w:lastRenderedPageBreak/>
        <w:t xml:space="preserve">independent </w:t>
      </w:r>
      <w:r w:rsidR="00920BEB" w:rsidRPr="00D47953">
        <w:t>signal generators (</w:t>
      </w:r>
      <w:r w:rsidR="00920BEB" w:rsidRPr="00475C9E">
        <w:rPr>
          <w:i/>
        </w:rPr>
        <w:t>f</w:t>
      </w:r>
      <w:r w:rsidR="00920BEB" w:rsidRPr="00D47953">
        <w:rPr>
          <w:vertAlign w:val="subscript"/>
        </w:rPr>
        <w:t>1</w:t>
      </w:r>
      <w:r w:rsidR="00920BEB" w:rsidRPr="00D47953">
        <w:t xml:space="preserve">, </w:t>
      </w:r>
      <w:r w:rsidR="00920BEB" w:rsidRPr="00475C9E">
        <w:rPr>
          <w:i/>
        </w:rPr>
        <w:t>f</w:t>
      </w:r>
      <w:r w:rsidR="00920BEB" w:rsidRPr="00D47953">
        <w:rPr>
          <w:vertAlign w:val="subscript"/>
        </w:rPr>
        <w:t>2</w:t>
      </w:r>
      <w:r w:rsidR="00920BEB" w:rsidRPr="00D47953">
        <w:t>)</w:t>
      </w:r>
      <w:r w:rsidR="00A67FB2" w:rsidRPr="00D47953">
        <w:t>.</w:t>
      </w:r>
      <w:r w:rsidR="00D441AF" w:rsidRPr="00D47953">
        <w:t xml:space="preserve"> After photodetection of the optical signals reflected by the FBGs, the resultant electrical</w:t>
      </w:r>
      <w:r w:rsidR="008C1560" w:rsidRPr="00D47953">
        <w:t xml:space="preserve"> </w:t>
      </w:r>
      <w:r w:rsidR="008312DE" w:rsidRPr="00D47953">
        <w:t>signal</w:t>
      </w:r>
      <w:r w:rsidR="008C1560" w:rsidRPr="00D47953">
        <w:t>s</w:t>
      </w:r>
      <w:r w:rsidR="00D441AF" w:rsidRPr="00D47953">
        <w:t xml:space="preserve"> were</w:t>
      </w:r>
      <w:r w:rsidR="008C1560" w:rsidRPr="00D47953">
        <w:t xml:space="preserve"> </w:t>
      </w:r>
      <w:r w:rsidR="008312DE" w:rsidRPr="00D47953">
        <w:t>added with a</w:t>
      </w:r>
      <w:r w:rsidR="008C1560" w:rsidRPr="00D47953">
        <w:t>n</w:t>
      </w:r>
      <w:r w:rsidR="008312DE" w:rsidRPr="00D47953">
        <w:t xml:space="preserve"> </w:t>
      </w:r>
      <w:r w:rsidR="008C1560" w:rsidRPr="00D47953">
        <w:t>electrical</w:t>
      </w:r>
      <w:r w:rsidR="008312DE" w:rsidRPr="00D47953">
        <w:t xml:space="preserve"> circuit </w:t>
      </w:r>
      <w:r w:rsidR="00D441AF" w:rsidRPr="00D47953">
        <w:t xml:space="preserve">and visualized in an </w:t>
      </w:r>
      <w:r w:rsidR="008C1560" w:rsidRPr="00D47953">
        <w:t xml:space="preserve">electrical spectrum </w:t>
      </w:r>
      <w:r w:rsidR="009F6CDE">
        <w:t xml:space="preserve"> </w:t>
      </w:r>
      <w:r w:rsidR="008C1560" w:rsidRPr="00D47953">
        <w:t>analyzer (ESA)</w:t>
      </w:r>
      <w:r w:rsidR="00D441AF" w:rsidRPr="00D47953">
        <w:t xml:space="preserve"> with adequate impedance matching</w:t>
      </w:r>
      <w:r w:rsidR="008C1560" w:rsidRPr="00D47953">
        <w:t>.</w:t>
      </w:r>
      <w:r w:rsidR="009F6CDE">
        <w:t xml:space="preserve"> </w:t>
      </w:r>
      <w:r w:rsidR="00C25E96" w:rsidRPr="00D47953">
        <w:t xml:space="preserve">The </w:t>
      </w:r>
      <w:r w:rsidR="00AA53BF">
        <w:t>modulation of the FBG resonance</w:t>
      </w:r>
      <w:r w:rsidR="00C25E96" w:rsidRPr="00D47953">
        <w:t xml:space="preserve"> originates a relative spectral movement with reference to the LPG transfer function, with a consequent optical power modulation at the modulation frequencies. The amplitude of this power modulation for each FBG would be constant if the LPG response were linear, which is not the case. Therefore, this amplitude is function of the LPG spectral position, which changes due to the measurand variation. This</w:t>
      </w:r>
      <w:r w:rsidR="00610AB5" w:rsidRPr="00D47953">
        <w:t xml:space="preserve"> effect can</w:t>
      </w:r>
      <w:r w:rsidR="00C25E96" w:rsidRPr="00D47953">
        <w:t xml:space="preserve"> be observed in Figure 4-a</w:t>
      </w:r>
      <w:r w:rsidR="00610AB5" w:rsidRPr="00D47953">
        <w:t xml:space="preserve"> for the LP</w:t>
      </w:r>
      <w:r w:rsidR="004825F8" w:rsidRPr="00D47953">
        <w:t>G in air and in water, where it can be seen that the wavelength shift of the LPG resonance at 1550</w:t>
      </w:r>
      <w:r w:rsidR="00475C9E">
        <w:t xml:space="preserve"> </w:t>
      </w:r>
      <w:r w:rsidR="004825F8" w:rsidRPr="00D47953">
        <w:t xml:space="preserve">nm is transformed into an amplitude variation of the two peaks observed in the ESA, each one corresponding to the frequency </w:t>
      </w:r>
      <w:r w:rsidR="004825F8" w:rsidRPr="00475C9E">
        <w:t xml:space="preserve">in </w:t>
      </w:r>
      <w:r w:rsidR="00E8008C" w:rsidRPr="00475C9E">
        <w:t>which</w:t>
      </w:r>
      <w:r w:rsidR="00E8008C">
        <w:t xml:space="preserve"> </w:t>
      </w:r>
      <w:r w:rsidR="004825F8" w:rsidRPr="00D47953">
        <w:t>each FBG is being modulated.</w:t>
      </w:r>
      <w:r w:rsidR="00C25E96" w:rsidRPr="00D47953">
        <w:t xml:space="preserve"> </w:t>
      </w:r>
      <w:r w:rsidR="004825F8" w:rsidRPr="00D47953">
        <w:t>Due to the</w:t>
      </w:r>
      <w:r w:rsidR="00610AB5" w:rsidRPr="00D47953">
        <w:t xml:space="preserve"> selection of the FBG Bragg wavelengths, the corresponding amplitudes change in phase opposition, a useful feature for readout sensitivity enhancement.</w:t>
      </w:r>
    </w:p>
    <w:tbl>
      <w:tblPr>
        <w:tblW w:w="0" w:type="auto"/>
        <w:jc w:val="center"/>
        <w:tblLook w:val="04A0"/>
      </w:tblPr>
      <w:tblGrid>
        <w:gridCol w:w="4395"/>
        <w:gridCol w:w="4395"/>
      </w:tblGrid>
      <w:tr w:rsidR="00412D64" w:rsidRPr="00D47953" w:rsidTr="00EC6EC1">
        <w:trPr>
          <w:trHeight w:val="2078"/>
          <w:jc w:val="center"/>
        </w:trPr>
        <w:tc>
          <w:tcPr>
            <w:tcW w:w="4395" w:type="dxa"/>
          </w:tcPr>
          <w:bookmarkStart w:id="1" w:name="_Ref256426221"/>
          <w:p w:rsidR="009806AA" w:rsidRDefault="00EC6EC1" w:rsidP="00B95943">
            <w:pPr>
              <w:keepNext/>
              <w:rPr>
                <w:rFonts w:ascii="Arial" w:hAnsi="Arial" w:cs="Arial"/>
                <w:b/>
                <w:sz w:val="16"/>
                <w:szCs w:val="16"/>
              </w:rPr>
            </w:pPr>
            <w:r w:rsidRPr="00D47953">
              <w:rPr>
                <w:rFonts w:ascii="Arial" w:hAnsi="Arial" w:cs="Arial"/>
                <w:b/>
                <w:sz w:val="16"/>
                <w:szCs w:val="16"/>
              </w:rPr>
              <w:object w:dxaOrig="6735" w:dyaOrig="4762">
                <v:shape id="_x0000_i1029" type="#_x0000_t75" style="width:165.5pt;height:117.8pt" o:ole="">
                  <v:imagedata r:id="rId18" o:title=""/>
                </v:shape>
                <o:OLEObject Type="Embed" ProgID="Origin50.Graph" ShapeID="_x0000_i1029" DrawAspect="Content" ObjectID="_1340432400" r:id="rId19"/>
              </w:object>
            </w:r>
          </w:p>
          <w:p w:rsidR="00AA53BF" w:rsidRPr="00D47953" w:rsidRDefault="00AA53BF" w:rsidP="00AA53BF">
            <w:pPr>
              <w:keepNext/>
              <w:numPr>
                <w:ilvl w:val="0"/>
                <w:numId w:val="16"/>
              </w:numPr>
              <w:rPr>
                <w:rFonts w:ascii="Arial" w:hAnsi="Arial" w:cs="Arial"/>
                <w:b/>
                <w:sz w:val="16"/>
                <w:szCs w:val="16"/>
              </w:rPr>
            </w:pPr>
            <w:r>
              <w:rPr>
                <w:rFonts w:ascii="Arial" w:hAnsi="Arial" w:cs="Arial"/>
                <w:b/>
                <w:sz w:val="16"/>
                <w:szCs w:val="16"/>
              </w:rPr>
              <w:t xml:space="preserve">                                                                 </w:t>
            </w:r>
          </w:p>
        </w:tc>
        <w:tc>
          <w:tcPr>
            <w:tcW w:w="4395" w:type="dxa"/>
          </w:tcPr>
          <w:p w:rsidR="009806AA" w:rsidRDefault="00AA53BF" w:rsidP="00AA53BF">
            <w:pPr>
              <w:keepNext/>
            </w:pPr>
            <w:r w:rsidRPr="00D47953">
              <w:object w:dxaOrig="6735" w:dyaOrig="4764">
                <v:shape id="_x0000_i1030" type="#_x0000_t75" style="width:166.9pt;height:118.3pt" o:ole="">
                  <v:imagedata r:id="rId20" o:title=""/>
                </v:shape>
                <o:OLEObject Type="Embed" ProgID="Origin50.Graph" ShapeID="_x0000_i1030" DrawAspect="Content" ObjectID="_1340432401" r:id="rId21"/>
              </w:object>
            </w:r>
          </w:p>
          <w:p w:rsidR="00AA53BF" w:rsidRPr="00D47953" w:rsidRDefault="00AA53BF" w:rsidP="00AA53BF">
            <w:pPr>
              <w:keepNext/>
              <w:numPr>
                <w:ilvl w:val="0"/>
                <w:numId w:val="16"/>
              </w:numPr>
              <w:rPr>
                <w:rFonts w:ascii="Arial" w:hAnsi="Arial" w:cs="Arial"/>
                <w:b/>
                <w:sz w:val="16"/>
                <w:szCs w:val="16"/>
              </w:rPr>
            </w:pPr>
            <w:r w:rsidRPr="00AA53BF">
              <w:rPr>
                <w:rFonts w:ascii="Arial" w:hAnsi="Arial" w:cs="Arial"/>
                <w:b/>
                <w:sz w:val="16"/>
                <w:szCs w:val="16"/>
              </w:rPr>
              <w:t xml:space="preserve">                         </w:t>
            </w:r>
          </w:p>
        </w:tc>
      </w:tr>
    </w:tbl>
    <w:p w:rsidR="00E70310" w:rsidRPr="00D47953" w:rsidRDefault="00E70310" w:rsidP="00E70310">
      <w:pPr>
        <w:pStyle w:val="Legenda"/>
        <w:jc w:val="center"/>
        <w:rPr>
          <w:b w:val="0"/>
          <w:sz w:val="18"/>
          <w:szCs w:val="18"/>
        </w:rPr>
      </w:pPr>
      <w:bookmarkStart w:id="2" w:name="_Ref257131356"/>
      <w:r w:rsidRPr="00D47953">
        <w:rPr>
          <w:b w:val="0"/>
          <w:sz w:val="18"/>
          <w:szCs w:val="18"/>
        </w:rPr>
        <w:t xml:space="preserve">Figure </w:t>
      </w:r>
      <w:r w:rsidR="008337C9" w:rsidRPr="00D47953">
        <w:rPr>
          <w:b w:val="0"/>
          <w:sz w:val="18"/>
          <w:szCs w:val="18"/>
        </w:rPr>
        <w:fldChar w:fldCharType="begin"/>
      </w:r>
      <w:r w:rsidRPr="00D47953">
        <w:rPr>
          <w:b w:val="0"/>
          <w:sz w:val="18"/>
          <w:szCs w:val="18"/>
        </w:rPr>
        <w:instrText xml:space="preserve"> SEQ Figure \* ARABIC </w:instrText>
      </w:r>
      <w:r w:rsidR="008337C9" w:rsidRPr="00D47953">
        <w:rPr>
          <w:b w:val="0"/>
          <w:sz w:val="18"/>
          <w:szCs w:val="18"/>
        </w:rPr>
        <w:fldChar w:fldCharType="separate"/>
      </w:r>
      <w:r w:rsidR="00117E86">
        <w:rPr>
          <w:b w:val="0"/>
          <w:noProof/>
          <w:sz w:val="18"/>
          <w:szCs w:val="18"/>
        </w:rPr>
        <w:t>4</w:t>
      </w:r>
      <w:r w:rsidR="008337C9" w:rsidRPr="00D47953">
        <w:rPr>
          <w:b w:val="0"/>
          <w:sz w:val="18"/>
          <w:szCs w:val="18"/>
        </w:rPr>
        <w:fldChar w:fldCharType="end"/>
      </w:r>
      <w:bookmarkEnd w:id="1"/>
      <w:bookmarkEnd w:id="2"/>
      <w:r w:rsidRPr="00D47953">
        <w:rPr>
          <w:b w:val="0"/>
          <w:sz w:val="18"/>
          <w:szCs w:val="18"/>
        </w:rPr>
        <w:t xml:space="preserve"> – </w:t>
      </w:r>
      <w:r w:rsidR="00E76FAE" w:rsidRPr="00D47953">
        <w:rPr>
          <w:b w:val="0"/>
          <w:sz w:val="18"/>
          <w:szCs w:val="18"/>
        </w:rPr>
        <w:t xml:space="preserve">a) </w:t>
      </w:r>
      <w:r w:rsidRPr="00D47953">
        <w:rPr>
          <w:b w:val="0"/>
          <w:sz w:val="18"/>
          <w:szCs w:val="18"/>
        </w:rPr>
        <w:t xml:space="preserve">Electrical </w:t>
      </w:r>
      <w:r w:rsidR="00632662">
        <w:rPr>
          <w:b w:val="0"/>
          <w:sz w:val="18"/>
          <w:szCs w:val="18"/>
        </w:rPr>
        <w:t>spectra</w:t>
      </w:r>
      <w:r w:rsidR="00632662" w:rsidRPr="00D47953">
        <w:rPr>
          <w:b w:val="0"/>
          <w:sz w:val="18"/>
          <w:szCs w:val="18"/>
        </w:rPr>
        <w:t xml:space="preserve"> </w:t>
      </w:r>
      <w:r w:rsidR="00610AB5" w:rsidRPr="00D47953">
        <w:rPr>
          <w:b w:val="0"/>
          <w:sz w:val="18"/>
          <w:szCs w:val="18"/>
        </w:rPr>
        <w:t>when modulating FBG</w:t>
      </w:r>
      <w:r w:rsidR="00610AB5" w:rsidRPr="00D47953">
        <w:rPr>
          <w:b w:val="0"/>
          <w:sz w:val="18"/>
          <w:szCs w:val="18"/>
          <w:vertAlign w:val="subscript"/>
        </w:rPr>
        <w:t>1</w:t>
      </w:r>
      <w:r w:rsidR="00610AB5" w:rsidRPr="00D47953">
        <w:rPr>
          <w:b w:val="0"/>
          <w:sz w:val="18"/>
          <w:szCs w:val="18"/>
        </w:rPr>
        <w:t xml:space="preserve"> and FBG</w:t>
      </w:r>
      <w:r w:rsidR="00610AB5" w:rsidRPr="00D47953">
        <w:rPr>
          <w:b w:val="0"/>
          <w:sz w:val="18"/>
          <w:szCs w:val="18"/>
          <w:vertAlign w:val="subscript"/>
        </w:rPr>
        <w:t>2</w:t>
      </w:r>
      <w:r w:rsidR="00610AB5" w:rsidRPr="00D47953">
        <w:rPr>
          <w:b w:val="0"/>
          <w:sz w:val="18"/>
          <w:szCs w:val="18"/>
        </w:rPr>
        <w:t xml:space="preserve"> with </w:t>
      </w:r>
      <w:r w:rsidR="00610AB5" w:rsidRPr="009F6CDE">
        <w:rPr>
          <w:b w:val="0"/>
          <w:i/>
          <w:sz w:val="18"/>
          <w:szCs w:val="18"/>
        </w:rPr>
        <w:t>f</w:t>
      </w:r>
      <w:r w:rsidR="00610AB5" w:rsidRPr="00D47953">
        <w:rPr>
          <w:b w:val="0"/>
          <w:sz w:val="18"/>
          <w:szCs w:val="18"/>
          <w:vertAlign w:val="subscript"/>
        </w:rPr>
        <w:t>1</w:t>
      </w:r>
      <w:r w:rsidR="00610AB5" w:rsidRPr="00D47953">
        <w:rPr>
          <w:b w:val="0"/>
          <w:sz w:val="18"/>
          <w:szCs w:val="18"/>
        </w:rPr>
        <w:t xml:space="preserve">=620Hz and </w:t>
      </w:r>
      <w:r w:rsidR="00610AB5" w:rsidRPr="009F6CDE">
        <w:rPr>
          <w:b w:val="0"/>
          <w:i/>
          <w:sz w:val="18"/>
          <w:szCs w:val="18"/>
        </w:rPr>
        <w:t>f</w:t>
      </w:r>
      <w:r w:rsidR="00610AB5" w:rsidRPr="00D47953">
        <w:rPr>
          <w:b w:val="0"/>
          <w:sz w:val="18"/>
          <w:szCs w:val="18"/>
          <w:vertAlign w:val="subscript"/>
        </w:rPr>
        <w:t>2</w:t>
      </w:r>
      <w:r w:rsidR="00610AB5" w:rsidRPr="00D47953">
        <w:rPr>
          <w:b w:val="0"/>
          <w:sz w:val="18"/>
          <w:szCs w:val="18"/>
        </w:rPr>
        <w:t>=740Hz, respectively, for the LPG located in air and in water; b) Noise level of the electronics at low frequencies.</w:t>
      </w:r>
    </w:p>
    <w:p w:rsidR="00E70310" w:rsidRPr="00D47953" w:rsidRDefault="00E70310" w:rsidP="006E2783">
      <w:pPr>
        <w:pStyle w:val="BodyofPaper"/>
      </w:pPr>
    </w:p>
    <w:p w:rsidR="008F5864" w:rsidRPr="00D47953" w:rsidRDefault="004825F8" w:rsidP="008F5864">
      <w:pPr>
        <w:pStyle w:val="BodyofPaper"/>
      </w:pPr>
      <w:r w:rsidRPr="00D47953">
        <w:t>The FBG</w:t>
      </w:r>
      <w:r w:rsidRPr="00D47953">
        <w:rPr>
          <w:vertAlign w:val="subscript"/>
        </w:rPr>
        <w:t>1</w:t>
      </w:r>
      <w:r w:rsidRPr="00D47953">
        <w:t xml:space="preserve"> was modulated at </w:t>
      </w:r>
      <w:r w:rsidRPr="00475C9E">
        <w:rPr>
          <w:i/>
        </w:rPr>
        <w:t>f</w:t>
      </w:r>
      <w:r w:rsidRPr="00D47953">
        <w:rPr>
          <w:vertAlign w:val="subscript"/>
        </w:rPr>
        <w:t>1</w:t>
      </w:r>
      <w:r w:rsidRPr="00D47953">
        <w:t>=620Hz and FBG</w:t>
      </w:r>
      <w:r w:rsidRPr="00D47953">
        <w:rPr>
          <w:vertAlign w:val="subscript"/>
        </w:rPr>
        <w:t>2</w:t>
      </w:r>
      <w:r w:rsidRPr="00D47953">
        <w:t xml:space="preserve"> at </w:t>
      </w:r>
      <w:r w:rsidRPr="00475C9E">
        <w:rPr>
          <w:i/>
        </w:rPr>
        <w:t>f</w:t>
      </w:r>
      <w:r w:rsidRPr="00D47953">
        <w:rPr>
          <w:vertAlign w:val="subscript"/>
        </w:rPr>
        <w:t>2</w:t>
      </w:r>
      <w:r w:rsidRPr="00D47953">
        <w:t>=740Hz, both in a frequency region where the system noise level stabilized at ~ - 90</w:t>
      </w:r>
      <w:r w:rsidR="00AA53BF">
        <w:t xml:space="preserve"> </w:t>
      </w:r>
      <w:r w:rsidRPr="00D47953">
        <w:t>dBVrms (</w:t>
      </w:r>
      <w:r w:rsidRPr="008C7CCD">
        <w:t>Figure 4-b</w:t>
      </w:r>
      <w:r w:rsidRPr="00D47953">
        <w:t xml:space="preserve">). The processing adopted </w:t>
      </w:r>
      <w:r w:rsidR="0023557C" w:rsidRPr="00D47953">
        <w:t>was</w:t>
      </w:r>
      <w:r w:rsidR="00475C9E">
        <w:t xml:space="preserve"> </w:t>
      </w:r>
      <w:r w:rsidR="009F6CDE" w:rsidRPr="009F6CDE">
        <w:rPr>
          <w:i/>
        </w:rPr>
        <w:t>V</w:t>
      </w:r>
      <w:r w:rsidR="009F6CDE" w:rsidRPr="009F6CDE">
        <w:rPr>
          <w:i/>
          <w:vertAlign w:val="subscript"/>
        </w:rPr>
        <w:t>proc</w:t>
      </w:r>
      <w:r w:rsidR="009F6CDE">
        <w:t>=</w:t>
      </w:r>
      <w:r w:rsidR="00561C5A">
        <w:t xml:space="preserve"> </w:t>
      </w:r>
      <w:r w:rsidR="00475C9E">
        <w:t>(</w:t>
      </w:r>
      <w:r w:rsidR="00475C9E" w:rsidRPr="00475C9E">
        <w:rPr>
          <w:i/>
        </w:rPr>
        <w:t>V</w:t>
      </w:r>
      <w:r w:rsidR="00475C9E" w:rsidRPr="00475C9E">
        <w:rPr>
          <w:vertAlign w:val="subscript"/>
        </w:rPr>
        <w:t>1</w:t>
      </w:r>
      <w:r w:rsidR="00475C9E">
        <w:t xml:space="preserve">- </w:t>
      </w:r>
      <w:r w:rsidR="00475C9E" w:rsidRPr="00475C9E">
        <w:rPr>
          <w:i/>
        </w:rPr>
        <w:t>V</w:t>
      </w:r>
      <w:r w:rsidR="00475C9E">
        <w:rPr>
          <w:vertAlign w:val="subscript"/>
        </w:rPr>
        <w:t>2</w:t>
      </w:r>
      <w:r w:rsidR="00475C9E">
        <w:t>)/</w:t>
      </w:r>
      <w:r w:rsidR="009F6CDE" w:rsidRPr="009F6CDE">
        <w:t xml:space="preserve"> </w:t>
      </w:r>
      <w:r w:rsidR="009F6CDE">
        <w:t>(</w:t>
      </w:r>
      <w:r w:rsidR="009F6CDE" w:rsidRPr="00475C9E">
        <w:rPr>
          <w:i/>
        </w:rPr>
        <w:t>V</w:t>
      </w:r>
      <w:r w:rsidR="009F6CDE" w:rsidRPr="00475C9E">
        <w:rPr>
          <w:vertAlign w:val="subscript"/>
        </w:rPr>
        <w:t>1</w:t>
      </w:r>
      <w:r w:rsidR="009F6CDE">
        <w:t>+</w:t>
      </w:r>
      <w:r w:rsidR="009F6CDE" w:rsidRPr="00475C9E">
        <w:rPr>
          <w:i/>
        </w:rPr>
        <w:t>V</w:t>
      </w:r>
      <w:r w:rsidR="009F6CDE">
        <w:rPr>
          <w:vertAlign w:val="subscript"/>
        </w:rPr>
        <w:t>2</w:t>
      </w:r>
      <w:r w:rsidR="009F6CDE">
        <w:t>)</w:t>
      </w:r>
      <w:r w:rsidRPr="00D47953">
        <w:t xml:space="preserve">, where </w:t>
      </w:r>
      <w:r w:rsidR="00475C9E" w:rsidRPr="00475C9E">
        <w:rPr>
          <w:i/>
        </w:rPr>
        <w:t>V</w:t>
      </w:r>
      <w:r w:rsidR="00475C9E" w:rsidRPr="00475C9E">
        <w:rPr>
          <w:vertAlign w:val="subscript"/>
        </w:rPr>
        <w:t>1</w:t>
      </w:r>
      <w:r w:rsidRPr="00D47953">
        <w:t>and</w:t>
      </w:r>
      <w:r w:rsidR="00475C9E">
        <w:t xml:space="preserve"> </w:t>
      </w:r>
      <w:r w:rsidR="00475C9E" w:rsidRPr="00475C9E">
        <w:rPr>
          <w:i/>
        </w:rPr>
        <w:t>V</w:t>
      </w:r>
      <w:r w:rsidR="00475C9E">
        <w:rPr>
          <w:vertAlign w:val="subscript"/>
        </w:rPr>
        <w:t>2</w:t>
      </w:r>
      <w:r w:rsidR="00475C9E">
        <w:t xml:space="preserve"> </w:t>
      </w:r>
      <w:r w:rsidRPr="00D47953">
        <w:t xml:space="preserve">are </w:t>
      </w:r>
      <w:r w:rsidR="008F5864" w:rsidRPr="00D47953">
        <w:t>the rms voltage amplitude</w:t>
      </w:r>
      <w:r w:rsidRPr="00D47953">
        <w:t>s</w:t>
      </w:r>
      <w:r w:rsidR="008F5864" w:rsidRPr="00D47953">
        <w:t xml:space="preserve"> of the signals at frequencies </w:t>
      </w:r>
      <w:r w:rsidR="008F5864" w:rsidRPr="009F6CDE">
        <w:rPr>
          <w:i/>
        </w:rPr>
        <w:t>f</w:t>
      </w:r>
      <w:r w:rsidR="008F5864" w:rsidRPr="00D47953">
        <w:rPr>
          <w:vertAlign w:val="subscript"/>
        </w:rPr>
        <w:t>1</w:t>
      </w:r>
      <w:r w:rsidR="008F5864" w:rsidRPr="00D47953">
        <w:t xml:space="preserve"> and </w:t>
      </w:r>
      <w:r w:rsidR="008F5864" w:rsidRPr="009F6CDE">
        <w:rPr>
          <w:i/>
        </w:rPr>
        <w:t>f</w:t>
      </w:r>
      <w:r w:rsidR="008F5864" w:rsidRPr="00D47953">
        <w:rPr>
          <w:vertAlign w:val="subscript"/>
        </w:rPr>
        <w:t>2</w:t>
      </w:r>
      <w:r w:rsidRPr="00D47953">
        <w:t>, respectively.</w:t>
      </w:r>
    </w:p>
    <w:p w:rsidR="00E869D9" w:rsidRPr="00D47953" w:rsidRDefault="00E869D9" w:rsidP="00A67FB2">
      <w:pPr>
        <w:pStyle w:val="Ttulo1"/>
      </w:pPr>
      <w:r w:rsidRPr="00D47953">
        <w:t>Results</w:t>
      </w:r>
    </w:p>
    <w:p w:rsidR="007C1BAD" w:rsidRPr="00D47953" w:rsidRDefault="008337C9" w:rsidP="00561C5A">
      <w:pPr>
        <w:pStyle w:val="SPIEbodytext"/>
      </w:pPr>
      <w:r w:rsidRPr="008337C9">
        <w:rPr>
          <w:noProof/>
          <w:lang w:eastAsia="zh-TW"/>
        </w:rPr>
        <w:pict>
          <v:shape id="_x0000_s1037" type="#_x0000_t202" style="position:absolute;left:0;text-align:left;margin-left:.65pt;margin-top:42.45pt;width:292.5pt;height:163.65pt;z-index:251657216;mso-width-relative:margin;mso-height-relative:margin" stroked="f">
            <v:textbox>
              <w:txbxContent>
                <w:p w:rsidR="009F6CDE" w:rsidRPr="009F6CDE" w:rsidRDefault="009F6CDE" w:rsidP="009F6CDE">
                  <w:r w:rsidRPr="00D47953">
                    <w:object w:dxaOrig="11520" w:dyaOrig="4608">
                      <v:shape id="_x0000_i1036" type="#_x0000_t75" style="width:279.6pt;height:123.9pt" o:ole="">
                        <v:imagedata r:id="rId22" o:title="" cropleft="4838f" cropright="1613f"/>
                      </v:shape>
                      <o:OLEObject Type="Embed" ProgID="Origin50.Graph" ShapeID="_x0000_i1036" DrawAspect="Content" ObjectID="_1340432407" r:id="rId23"/>
                    </w:object>
                  </w:r>
                  <w:r w:rsidRPr="009F6CDE">
                    <w:rPr>
                      <w:sz w:val="18"/>
                      <w:szCs w:val="18"/>
                    </w:rPr>
                    <w:t xml:space="preserve">Figure </w:t>
                  </w:r>
                  <w:r w:rsidR="008337C9" w:rsidRPr="009F6CDE">
                    <w:rPr>
                      <w:sz w:val="18"/>
                      <w:szCs w:val="18"/>
                    </w:rPr>
                    <w:fldChar w:fldCharType="begin"/>
                  </w:r>
                  <w:r w:rsidRPr="009F6CDE">
                    <w:rPr>
                      <w:sz w:val="18"/>
                      <w:szCs w:val="18"/>
                    </w:rPr>
                    <w:instrText xml:space="preserve"> SEQ Figure \* ARABIC </w:instrText>
                  </w:r>
                  <w:r w:rsidR="008337C9" w:rsidRPr="009F6CDE">
                    <w:rPr>
                      <w:sz w:val="18"/>
                      <w:szCs w:val="18"/>
                    </w:rPr>
                    <w:fldChar w:fldCharType="separate"/>
                  </w:r>
                  <w:r w:rsidR="00117E86">
                    <w:rPr>
                      <w:noProof/>
                      <w:sz w:val="18"/>
                      <w:szCs w:val="18"/>
                    </w:rPr>
                    <w:t>5</w:t>
                  </w:r>
                  <w:r w:rsidR="008337C9" w:rsidRPr="009F6CDE">
                    <w:rPr>
                      <w:sz w:val="18"/>
                      <w:szCs w:val="18"/>
                    </w:rPr>
                    <w:fldChar w:fldCharType="end"/>
                  </w:r>
                  <w:r w:rsidRPr="009F6CDE">
                    <w:rPr>
                      <w:sz w:val="18"/>
                      <w:szCs w:val="18"/>
                    </w:rPr>
                    <w:t xml:space="preserve"> – System output versus refractive index for the case of not using and using EDFA amplification. Fibre length t</w:t>
                  </w:r>
                  <w:r>
                    <w:rPr>
                      <w:sz w:val="18"/>
                      <w:szCs w:val="18"/>
                    </w:rPr>
                    <w:t xml:space="preserve">o the sensing head : a) 1.5 m; </w:t>
                  </w:r>
                  <w:r w:rsidRPr="009F6CDE">
                    <w:rPr>
                      <w:sz w:val="18"/>
                      <w:szCs w:val="18"/>
                    </w:rPr>
                    <w:t>b) 5 Km.</w:t>
                  </w:r>
                </w:p>
              </w:txbxContent>
            </v:textbox>
            <w10:wrap type="square"/>
          </v:shape>
        </w:pict>
      </w:r>
      <w:r w:rsidR="0042240A" w:rsidRPr="00D47953">
        <w:t>The</w:t>
      </w:r>
      <w:r w:rsidR="00265DCB" w:rsidRPr="00D47953">
        <w:t xml:space="preserve"> setup depicted in</w:t>
      </w:r>
      <w:r w:rsidR="00E8008C">
        <w:t xml:space="preserve"> </w:t>
      </w:r>
      <w:r w:rsidR="00E8008C" w:rsidRPr="009F6CDE">
        <w:t>Figure 2</w:t>
      </w:r>
      <w:r w:rsidR="00265DCB" w:rsidRPr="00D47953">
        <w:t xml:space="preserve"> was used to estimate </w:t>
      </w:r>
      <w:r w:rsidR="00265DCB" w:rsidRPr="009F6CDE">
        <w:rPr>
          <w:i/>
        </w:rPr>
        <w:t>V</w:t>
      </w:r>
      <w:r w:rsidR="00265DCB" w:rsidRPr="009F6CDE">
        <w:rPr>
          <w:i/>
          <w:vertAlign w:val="subscript"/>
        </w:rPr>
        <w:t>proc</w:t>
      </w:r>
      <w:r w:rsidR="00265DCB" w:rsidRPr="00D47953">
        <w:t xml:space="preserve"> in several situations: with and without </w:t>
      </w:r>
      <w:r w:rsidR="00C343EC" w:rsidRPr="00D47953">
        <w:t xml:space="preserve">optical </w:t>
      </w:r>
      <w:r w:rsidR="00265DCB" w:rsidRPr="00D47953">
        <w:t>amplification considering local or remote sensing. The obtained</w:t>
      </w:r>
      <w:r w:rsidR="0023557C" w:rsidRPr="00D47953">
        <w:t xml:space="preserve"> responses with the</w:t>
      </w:r>
      <w:r w:rsidR="00265DCB" w:rsidRPr="00D47953">
        <w:t xml:space="preserve"> dynamic </w:t>
      </w:r>
      <w:r w:rsidR="0023557C" w:rsidRPr="00D47953">
        <w:t>interrogation approach</w:t>
      </w:r>
      <w:r w:rsidR="00265DCB" w:rsidRPr="00D47953">
        <w:t xml:space="preserve"> are shown in </w:t>
      </w:r>
      <w:r w:rsidR="0023557C" w:rsidRPr="00D47953">
        <w:t>Figure 5 when the refractive i</w:t>
      </w:r>
      <w:r w:rsidR="007C1BAD" w:rsidRPr="00D47953">
        <w:t>ndex of the environment changes (the EDFA amplification is performed as shown in Fig 1).</w:t>
      </w:r>
      <w:r w:rsidR="009F6CDE">
        <w:t xml:space="preserve"> </w:t>
      </w:r>
      <w:r w:rsidR="009F6CDE" w:rsidRPr="00D47953">
        <w:t xml:space="preserve">It can be seen the proposed interrogation scheme permits to read refractive index variations, exhibiting </w:t>
      </w:r>
      <w:r w:rsidR="009F6CDE" w:rsidRPr="009F6CDE">
        <w:rPr>
          <w:i/>
        </w:rPr>
        <w:t>V</w:t>
      </w:r>
      <w:r w:rsidR="009F6CDE" w:rsidRPr="009F6CDE">
        <w:rPr>
          <w:i/>
          <w:vertAlign w:val="subscript"/>
        </w:rPr>
        <w:t>proc</w:t>
      </w:r>
      <w:r w:rsidR="009F6CDE" w:rsidRPr="00D47953">
        <w:t xml:space="preserve"> versus </w:t>
      </w:r>
      <w:r w:rsidR="009F6CDE" w:rsidRPr="00D70ABE">
        <w:rPr>
          <w:position w:val="-6"/>
        </w:rPr>
        <w:object w:dxaOrig="200" w:dyaOrig="220">
          <v:shape id="_x0000_i1031" type="#_x0000_t75" style="width:7.95pt;height:9.35pt" o:ole="">
            <v:imagedata r:id="rId24" o:title=""/>
          </v:shape>
          <o:OLEObject Type="Embed" ProgID="Equation.DSMT4" ShapeID="_x0000_i1031" DrawAspect="Content" ObjectID="_1340432402" r:id="rId25"/>
        </w:object>
      </w:r>
      <w:r w:rsidR="009F6CDE" w:rsidRPr="00D47953">
        <w:t xml:space="preserve"> </w:t>
      </w:r>
      <w:r w:rsidR="009F6CDE">
        <w:t xml:space="preserve">as </w:t>
      </w:r>
      <w:r w:rsidR="009F6CDE" w:rsidRPr="00D47953">
        <w:t xml:space="preserve">a linear relationship. Also in all cases the slopes are not substantially different, which is understandable in face of the way </w:t>
      </w:r>
      <w:r w:rsidR="009F6CDE" w:rsidRPr="009F6CDE">
        <w:rPr>
          <w:i/>
        </w:rPr>
        <w:t>V</w:t>
      </w:r>
      <w:r w:rsidR="009F6CDE" w:rsidRPr="009F6CDE">
        <w:rPr>
          <w:i/>
          <w:vertAlign w:val="subscript"/>
        </w:rPr>
        <w:t>proc</w:t>
      </w:r>
      <w:r w:rsidR="009F6CDE" w:rsidRPr="00D47953">
        <w:t xml:space="preserve"> is defined. On the other hand the amplification has real impact in the readout resolution when the sensing head is located far away. </w:t>
      </w:r>
      <w:r w:rsidR="009F6CDE">
        <w:t xml:space="preserve"> </w:t>
      </w:r>
      <w:r w:rsidR="009F6CDE" w:rsidRPr="00D47953">
        <w:t xml:space="preserve">To further test this point, </w:t>
      </w:r>
      <w:r w:rsidR="009F6CDE" w:rsidRPr="00D70ABE">
        <w:rPr>
          <w:szCs w:val="20"/>
          <w:lang w:eastAsia="pt-PT"/>
        </w:rPr>
        <w:t xml:space="preserve">50 </w:t>
      </w:r>
      <w:r w:rsidR="009F6CDE">
        <w:rPr>
          <w:szCs w:val="20"/>
          <w:lang w:eastAsia="pt-PT"/>
        </w:rPr>
        <w:t xml:space="preserve">Km of fibre were used located </w:t>
      </w:r>
      <w:r w:rsidR="009F6CDE" w:rsidRPr="00D70ABE">
        <w:rPr>
          <w:szCs w:val="20"/>
          <w:lang w:eastAsia="pt-PT"/>
        </w:rPr>
        <w:t>between the sensing head</w:t>
      </w:r>
      <w:r w:rsidR="009F6CDE">
        <w:t xml:space="preserve"> </w:t>
      </w:r>
      <w:r w:rsidR="008F6AF2" w:rsidRPr="00D47953">
        <w:t xml:space="preserve">and the processing region, simulating therefore the situation of a remote sensor. In this case the Erbium amplification was replaced by a </w:t>
      </w:r>
      <w:r w:rsidR="008F6AF2" w:rsidRPr="00D47953">
        <w:rPr>
          <w:szCs w:val="20"/>
          <w:lang w:eastAsia="pt-PT"/>
        </w:rPr>
        <w:t xml:space="preserve">Raman amplifier stage operating in the 50 km downlead fibre. The resolution was estimated by applying a refractive index step change of </w:t>
      </w:r>
      <w:r w:rsidR="00DB5B9E" w:rsidRPr="00D47953">
        <w:rPr>
          <w:szCs w:val="20"/>
          <w:lang w:eastAsia="pt-PT"/>
        </w:rPr>
        <w:t>0.022</w:t>
      </w:r>
      <w:r w:rsidR="00A95D5C" w:rsidRPr="00D47953">
        <w:rPr>
          <w:szCs w:val="20"/>
          <w:lang w:eastAsia="pt-PT"/>
        </w:rPr>
        <w:t xml:space="preserve"> RIU</w:t>
      </w:r>
      <w:r w:rsidR="00DB5B9E" w:rsidRPr="00D47953">
        <w:rPr>
          <w:szCs w:val="20"/>
          <w:lang w:eastAsia="pt-PT"/>
        </w:rPr>
        <w:t xml:space="preserve"> and determining the corres</w:t>
      </w:r>
      <w:r w:rsidR="00561C5A">
        <w:rPr>
          <w:szCs w:val="20"/>
          <w:lang w:eastAsia="pt-PT"/>
        </w:rPr>
        <w:t>-</w:t>
      </w:r>
      <w:r w:rsidR="00DB5B9E" w:rsidRPr="00D47953">
        <w:rPr>
          <w:szCs w:val="20"/>
          <w:lang w:eastAsia="pt-PT"/>
        </w:rPr>
        <w:t xml:space="preserve">ponding signal change and </w:t>
      </w:r>
      <w:r w:rsidR="00DB5B9E" w:rsidRPr="00D47953">
        <w:rPr>
          <w:i/>
          <w:szCs w:val="20"/>
          <w:lang w:eastAsia="pt-PT"/>
        </w:rPr>
        <w:t>rms</w:t>
      </w:r>
      <w:r w:rsidR="00DB5B9E" w:rsidRPr="00D47953">
        <w:rPr>
          <w:szCs w:val="20"/>
          <w:lang w:eastAsia="pt-PT"/>
        </w:rPr>
        <w:t xml:space="preserve"> noise fluctuations (the same procedure was done for all cases shown in Table 1). Figure 6 shows the o</w:t>
      </w:r>
      <w:r w:rsidR="004B1E35" w:rsidRPr="00D47953">
        <w:rPr>
          <w:szCs w:val="20"/>
          <w:lang w:eastAsia="pt-PT"/>
        </w:rPr>
        <w:t>btained</w:t>
      </w:r>
      <w:r w:rsidR="00DB5B9E" w:rsidRPr="00D47953">
        <w:rPr>
          <w:szCs w:val="20"/>
          <w:lang w:eastAsia="pt-PT"/>
        </w:rPr>
        <w:t xml:space="preserve"> response and from it comes out a resolution of</w:t>
      </w:r>
      <w:r w:rsidR="00561C5A">
        <w:rPr>
          <w:szCs w:val="20"/>
          <w:lang w:eastAsia="pt-PT"/>
        </w:rPr>
        <w:t xml:space="preserve"> 7.4</w:t>
      </w:r>
      <w:r w:rsidR="00561C5A">
        <w:rPr>
          <w:szCs w:val="20"/>
          <w:lang w:eastAsia="pt-PT"/>
        </w:rPr>
        <w:sym w:font="Symbol" w:char="F0B4"/>
      </w:r>
      <w:r w:rsidR="00561C5A">
        <w:rPr>
          <w:szCs w:val="20"/>
          <w:lang w:eastAsia="pt-PT"/>
        </w:rPr>
        <w:t>10</w:t>
      </w:r>
      <w:r w:rsidR="00561C5A">
        <w:rPr>
          <w:szCs w:val="20"/>
          <w:vertAlign w:val="superscript"/>
          <w:lang w:eastAsia="pt-PT"/>
        </w:rPr>
        <w:t>-4</w:t>
      </w:r>
      <w:r w:rsidR="00DB5B9E" w:rsidRPr="00D47953">
        <w:t xml:space="preserve">, which is a factor of </w:t>
      </w:r>
      <w:r w:rsidR="00A95D5C" w:rsidRPr="00D47953">
        <w:t xml:space="preserve">~ </w:t>
      </w:r>
      <w:r w:rsidR="00DB5B9E" w:rsidRPr="00D47953">
        <w:t>6 better compared with the situation of no amplification.</w:t>
      </w:r>
      <w:r w:rsidR="004B1E35" w:rsidRPr="00D47953">
        <w:t xml:space="preserve"> Table 1 summarizes the resolutions obtained with the proposed interrogation technique in all situations considered.</w:t>
      </w:r>
      <w:r w:rsidR="00DB5B9E" w:rsidRPr="00D47953">
        <w:t xml:space="preserve"> </w:t>
      </w:r>
    </w:p>
    <w:tbl>
      <w:tblPr>
        <w:tblW w:w="0" w:type="auto"/>
        <w:jc w:val="center"/>
        <w:tblLook w:val="04A0"/>
      </w:tblPr>
      <w:tblGrid>
        <w:gridCol w:w="5328"/>
        <w:gridCol w:w="4609"/>
      </w:tblGrid>
      <w:tr w:rsidR="005703AC" w:rsidRPr="00D47953" w:rsidTr="004B1E35">
        <w:trPr>
          <w:trHeight w:val="3118"/>
          <w:jc w:val="center"/>
        </w:trPr>
        <w:tc>
          <w:tcPr>
            <w:tcW w:w="5328" w:type="dxa"/>
          </w:tcPr>
          <w:p w:rsidR="005703AC" w:rsidRPr="00D47953" w:rsidRDefault="00C53C6F" w:rsidP="00BF4377">
            <w:pPr>
              <w:keepNext/>
              <w:jc w:val="center"/>
            </w:pPr>
            <w:r w:rsidRPr="00D47953">
              <w:object w:dxaOrig="6735" w:dyaOrig="4762">
                <v:shape id="_x0000_i1032" type="#_x0000_t75" style="width:188.4pt;height:132.3pt" o:ole="">
                  <v:imagedata r:id="rId26" o:title=""/>
                </v:shape>
                <o:OLEObject Type="Embed" ProgID="Origin50.Graph" ShapeID="_x0000_i1032" DrawAspect="Content" ObjectID="_1340432403" r:id="rId27"/>
              </w:object>
            </w:r>
          </w:p>
          <w:p w:rsidR="00B55B15" w:rsidRPr="00D47953" w:rsidRDefault="00B55B15" w:rsidP="00BF4377">
            <w:pPr>
              <w:keepNext/>
              <w:jc w:val="center"/>
            </w:pPr>
            <w:bookmarkStart w:id="3" w:name="_Ref256587714"/>
            <w:r w:rsidRPr="00D47953">
              <w:rPr>
                <w:bCs/>
                <w:sz w:val="18"/>
                <w:szCs w:val="18"/>
              </w:rPr>
              <w:t xml:space="preserve">Figure </w:t>
            </w:r>
            <w:r w:rsidR="008337C9" w:rsidRPr="00D47953">
              <w:rPr>
                <w:bCs/>
                <w:sz w:val="18"/>
                <w:szCs w:val="18"/>
              </w:rPr>
              <w:fldChar w:fldCharType="begin"/>
            </w:r>
            <w:r w:rsidRPr="00D47953">
              <w:rPr>
                <w:bCs/>
                <w:sz w:val="18"/>
                <w:szCs w:val="18"/>
              </w:rPr>
              <w:instrText xml:space="preserve"> SEQ Figure \* ARABIC </w:instrText>
            </w:r>
            <w:r w:rsidR="008337C9" w:rsidRPr="00D47953">
              <w:rPr>
                <w:bCs/>
                <w:sz w:val="18"/>
                <w:szCs w:val="18"/>
              </w:rPr>
              <w:fldChar w:fldCharType="separate"/>
            </w:r>
            <w:r w:rsidR="00117E86">
              <w:rPr>
                <w:bCs/>
                <w:noProof/>
                <w:sz w:val="18"/>
                <w:szCs w:val="18"/>
              </w:rPr>
              <w:t>6</w:t>
            </w:r>
            <w:r w:rsidR="008337C9" w:rsidRPr="00D47953">
              <w:rPr>
                <w:bCs/>
                <w:sz w:val="18"/>
                <w:szCs w:val="18"/>
              </w:rPr>
              <w:fldChar w:fldCharType="end"/>
            </w:r>
            <w:bookmarkEnd w:id="3"/>
            <w:r w:rsidRPr="00D47953">
              <w:rPr>
                <w:bCs/>
                <w:sz w:val="18"/>
                <w:szCs w:val="18"/>
              </w:rPr>
              <w:t xml:space="preserve"> – System out</w:t>
            </w:r>
            <w:r w:rsidR="00A95D5C" w:rsidRPr="00D47953">
              <w:rPr>
                <w:bCs/>
                <w:sz w:val="18"/>
                <w:szCs w:val="18"/>
              </w:rPr>
              <w:t xml:space="preserve">put for a refractive index step </w:t>
            </w:r>
            <w:r w:rsidRPr="00D47953">
              <w:rPr>
                <w:bCs/>
                <w:sz w:val="18"/>
                <w:szCs w:val="18"/>
              </w:rPr>
              <w:t xml:space="preserve">variation (sensing head located 50 km away; </w:t>
            </w:r>
            <w:r w:rsidR="004B1E35" w:rsidRPr="00D47953">
              <w:rPr>
                <w:bCs/>
                <w:sz w:val="18"/>
                <w:szCs w:val="18"/>
              </w:rPr>
              <w:t>system with Raman amplification).</w:t>
            </w:r>
          </w:p>
        </w:tc>
        <w:tc>
          <w:tcPr>
            <w:tcW w:w="4609" w:type="dxa"/>
          </w:tcPr>
          <w:tbl>
            <w:tblPr>
              <w:tblpPr w:leftFromText="180" w:rightFromText="180" w:vertAnchor="page" w:horzAnchor="margin" w:tblpY="116"/>
              <w:tblOverlap w:val="never"/>
              <w:tblW w:w="411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tblPr>
            <w:tblGrid>
              <w:gridCol w:w="1701"/>
              <w:gridCol w:w="1560"/>
              <w:gridCol w:w="850"/>
            </w:tblGrid>
            <w:tr w:rsidR="004B1E35" w:rsidRPr="00D47953" w:rsidTr="004B1E35">
              <w:trPr>
                <w:trHeight w:val="255"/>
              </w:trPr>
              <w:tc>
                <w:tcPr>
                  <w:tcW w:w="1701" w:type="dxa"/>
                  <w:tcBorders>
                    <w:top w:val="single" w:sz="8" w:space="0" w:color="auto"/>
                    <w:left w:val="nil"/>
                    <w:bottom w:val="double" w:sz="4"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bookmarkStart w:id="4" w:name="_Ref256599174"/>
                  <w:bookmarkStart w:id="5" w:name="_Ref256599168"/>
                  <w:r w:rsidRPr="00D47953">
                    <w:rPr>
                      <w:rFonts w:ascii="Arial Narrow" w:hAnsi="Arial Narrow" w:cs="Arial"/>
                      <w:b/>
                      <w:i/>
                      <w:sz w:val="16"/>
                      <w:szCs w:val="16"/>
                      <w:lang w:eastAsia="pt-PT"/>
                    </w:rPr>
                    <w:t>Length of the Fibre to the Sensing Head</w:t>
                  </w:r>
                </w:p>
              </w:tc>
              <w:tc>
                <w:tcPr>
                  <w:tcW w:w="1560" w:type="dxa"/>
                  <w:tcBorders>
                    <w:top w:val="single" w:sz="8" w:space="0" w:color="auto"/>
                    <w:left w:val="nil"/>
                    <w:bottom w:val="double" w:sz="4" w:space="0" w:color="auto"/>
                    <w:right w:val="nil"/>
                  </w:tcBorders>
                  <w:noWrap/>
                  <w:vAlign w:val="center"/>
                </w:tcPr>
                <w:p w:rsidR="004B1E35" w:rsidRPr="00D47953" w:rsidRDefault="004B1E35" w:rsidP="004B1E35">
                  <w:pPr>
                    <w:jc w:val="center"/>
                    <w:rPr>
                      <w:rFonts w:ascii="Arial Narrow" w:hAnsi="Arial Narrow" w:cs="Arial"/>
                      <w:b/>
                      <w:sz w:val="16"/>
                      <w:szCs w:val="16"/>
                      <w:lang w:eastAsia="pt-PT"/>
                    </w:rPr>
                  </w:pPr>
                  <w:r w:rsidRPr="00D47953">
                    <w:rPr>
                      <w:rFonts w:ascii="Arial Narrow" w:hAnsi="Arial Narrow" w:cs="Arial"/>
                      <w:b/>
                      <w:sz w:val="16"/>
                      <w:szCs w:val="16"/>
                      <w:lang w:eastAsia="pt-PT"/>
                    </w:rPr>
                    <w:t>Configuration</w:t>
                  </w:r>
                </w:p>
              </w:tc>
              <w:tc>
                <w:tcPr>
                  <w:tcW w:w="850" w:type="dxa"/>
                  <w:tcBorders>
                    <w:top w:val="single" w:sz="8" w:space="0" w:color="auto"/>
                    <w:left w:val="nil"/>
                    <w:bottom w:val="double" w:sz="4" w:space="0" w:color="auto"/>
                    <w:right w:val="nil"/>
                  </w:tcBorders>
                  <w:noWrap/>
                  <w:vAlign w:val="center"/>
                </w:tcPr>
                <w:p w:rsidR="004B1E35" w:rsidRPr="00D47953" w:rsidRDefault="004B1E35" w:rsidP="004B1E35">
                  <w:pPr>
                    <w:jc w:val="center"/>
                    <w:rPr>
                      <w:rFonts w:ascii="Arial Narrow" w:hAnsi="Arial Narrow" w:cs="Arial"/>
                      <w:b/>
                      <w:sz w:val="16"/>
                      <w:szCs w:val="16"/>
                      <w:lang w:eastAsia="pt-PT"/>
                    </w:rPr>
                  </w:pPr>
                  <w:r w:rsidRPr="00D47953">
                    <w:rPr>
                      <w:rFonts w:ascii="Arial Narrow" w:hAnsi="Arial Narrow" w:cs="Arial"/>
                      <w:b/>
                      <w:position w:val="-12"/>
                      <w:sz w:val="16"/>
                      <w:szCs w:val="16"/>
                      <w:lang w:eastAsia="pt-PT"/>
                    </w:rPr>
                    <w:object w:dxaOrig="560" w:dyaOrig="360">
                      <v:shape id="_x0000_i1033" type="#_x0000_t75" style="width:28.05pt;height:18.25pt" o:ole="">
                        <v:imagedata r:id="rId28" o:title=""/>
                      </v:shape>
                      <o:OLEObject Type="Embed" ProgID="Equation.DSMT4" ShapeID="_x0000_i1033" DrawAspect="Content" ObjectID="_1340432404" r:id="rId29"/>
                    </w:object>
                  </w:r>
                </w:p>
              </w:tc>
            </w:tr>
            <w:tr w:rsidR="004B1E35" w:rsidRPr="00D47953" w:rsidTr="004B1E35">
              <w:trPr>
                <w:trHeight w:val="255"/>
              </w:trPr>
              <w:tc>
                <w:tcPr>
                  <w:tcW w:w="1701" w:type="dxa"/>
                  <w:vMerge w:val="restart"/>
                  <w:tcBorders>
                    <w:top w:val="double" w:sz="4" w:space="0" w:color="auto"/>
                    <w:left w:val="nil"/>
                    <w:bottom w:val="single" w:sz="6"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r w:rsidRPr="00D47953">
                    <w:rPr>
                      <w:rFonts w:ascii="Arial Narrow" w:hAnsi="Arial Narrow" w:cs="Arial"/>
                      <w:b/>
                      <w:i/>
                      <w:sz w:val="16"/>
                      <w:szCs w:val="16"/>
                      <w:lang w:eastAsia="pt-PT"/>
                    </w:rPr>
                    <w:t>1.5 m</w:t>
                  </w:r>
                </w:p>
              </w:tc>
              <w:tc>
                <w:tcPr>
                  <w:tcW w:w="1560" w:type="dxa"/>
                  <w:tcBorders>
                    <w:top w:val="double" w:sz="4" w:space="0" w:color="auto"/>
                    <w:left w:val="nil"/>
                    <w:bottom w:val="single" w:sz="6"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Without amplification</w:t>
                  </w:r>
                </w:p>
              </w:tc>
              <w:tc>
                <w:tcPr>
                  <w:tcW w:w="850" w:type="dxa"/>
                  <w:tcBorders>
                    <w:top w:val="double" w:sz="4" w:space="0" w:color="auto"/>
                    <w:left w:val="nil"/>
                    <w:bottom w:val="single" w:sz="6"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2.5E-04</w:t>
                  </w:r>
                </w:p>
              </w:tc>
            </w:tr>
            <w:tr w:rsidR="004B1E35" w:rsidRPr="00D47953" w:rsidTr="004B1E35">
              <w:trPr>
                <w:trHeight w:val="255"/>
              </w:trPr>
              <w:tc>
                <w:tcPr>
                  <w:tcW w:w="1701" w:type="dxa"/>
                  <w:vMerge/>
                  <w:tcBorders>
                    <w:top w:val="single" w:sz="6" w:space="0" w:color="auto"/>
                    <w:left w:val="nil"/>
                    <w:bottom w:val="single" w:sz="6"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p>
              </w:tc>
              <w:tc>
                <w:tcPr>
                  <w:tcW w:w="1560" w:type="dxa"/>
                  <w:tcBorders>
                    <w:top w:val="single" w:sz="6" w:space="0" w:color="auto"/>
                    <w:left w:val="nil"/>
                    <w:bottom w:val="single" w:sz="6"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 xml:space="preserve">Erbium amplification </w:t>
                  </w:r>
                </w:p>
              </w:tc>
              <w:tc>
                <w:tcPr>
                  <w:tcW w:w="850" w:type="dxa"/>
                  <w:tcBorders>
                    <w:top w:val="single" w:sz="6" w:space="0" w:color="auto"/>
                    <w:left w:val="nil"/>
                    <w:bottom w:val="single" w:sz="6"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2.4E-04</w:t>
                  </w:r>
                </w:p>
              </w:tc>
            </w:tr>
            <w:tr w:rsidR="004B1E35" w:rsidRPr="00D47953" w:rsidTr="004B1E35">
              <w:trPr>
                <w:trHeight w:val="255"/>
              </w:trPr>
              <w:tc>
                <w:tcPr>
                  <w:tcW w:w="1701" w:type="dxa"/>
                  <w:vMerge w:val="restart"/>
                  <w:tcBorders>
                    <w:top w:val="single" w:sz="6" w:space="0" w:color="auto"/>
                    <w:left w:val="nil"/>
                    <w:bottom w:val="single" w:sz="6"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r w:rsidRPr="00D47953">
                    <w:rPr>
                      <w:rFonts w:ascii="Arial Narrow" w:hAnsi="Arial Narrow" w:cs="Arial"/>
                      <w:b/>
                      <w:i/>
                      <w:sz w:val="16"/>
                      <w:szCs w:val="16"/>
                      <w:lang w:eastAsia="pt-PT"/>
                    </w:rPr>
                    <w:t>5 Km</w:t>
                  </w:r>
                </w:p>
              </w:tc>
              <w:tc>
                <w:tcPr>
                  <w:tcW w:w="1560" w:type="dxa"/>
                  <w:tcBorders>
                    <w:top w:val="single" w:sz="6" w:space="0" w:color="auto"/>
                    <w:left w:val="nil"/>
                    <w:bottom w:val="single" w:sz="6"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Without amplification</w:t>
                  </w:r>
                </w:p>
              </w:tc>
              <w:tc>
                <w:tcPr>
                  <w:tcW w:w="850" w:type="dxa"/>
                  <w:tcBorders>
                    <w:top w:val="single" w:sz="6" w:space="0" w:color="auto"/>
                    <w:left w:val="nil"/>
                    <w:bottom w:val="single" w:sz="6"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4.3E-04</w:t>
                  </w:r>
                </w:p>
              </w:tc>
            </w:tr>
            <w:tr w:rsidR="004B1E35" w:rsidRPr="00D47953" w:rsidTr="004B1E35">
              <w:trPr>
                <w:trHeight w:val="255"/>
              </w:trPr>
              <w:tc>
                <w:tcPr>
                  <w:tcW w:w="1701" w:type="dxa"/>
                  <w:vMerge/>
                  <w:tcBorders>
                    <w:top w:val="single" w:sz="6" w:space="0" w:color="auto"/>
                    <w:left w:val="nil"/>
                    <w:bottom w:val="single" w:sz="6"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p>
              </w:tc>
              <w:tc>
                <w:tcPr>
                  <w:tcW w:w="1560" w:type="dxa"/>
                  <w:tcBorders>
                    <w:top w:val="single" w:sz="6" w:space="0" w:color="auto"/>
                    <w:left w:val="nil"/>
                    <w:bottom w:val="single" w:sz="6"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Erbium amplification</w:t>
                  </w:r>
                </w:p>
              </w:tc>
              <w:tc>
                <w:tcPr>
                  <w:tcW w:w="850" w:type="dxa"/>
                  <w:tcBorders>
                    <w:top w:val="single" w:sz="6" w:space="0" w:color="auto"/>
                    <w:left w:val="nil"/>
                    <w:bottom w:val="single" w:sz="6"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2.2E-04</w:t>
                  </w:r>
                </w:p>
              </w:tc>
            </w:tr>
            <w:tr w:rsidR="004B1E35" w:rsidRPr="00D47953" w:rsidTr="004B1E35">
              <w:trPr>
                <w:trHeight w:val="255"/>
              </w:trPr>
              <w:tc>
                <w:tcPr>
                  <w:tcW w:w="1701" w:type="dxa"/>
                  <w:vMerge w:val="restart"/>
                  <w:tcBorders>
                    <w:top w:val="single" w:sz="6" w:space="0" w:color="auto"/>
                    <w:left w:val="nil"/>
                    <w:bottom w:val="single" w:sz="6" w:space="0" w:color="auto"/>
                    <w:right w:val="nil"/>
                  </w:tcBorders>
                  <w:vAlign w:val="center"/>
                </w:tcPr>
                <w:p w:rsidR="004B1E35" w:rsidRPr="00D47953" w:rsidRDefault="004B1E35" w:rsidP="004B1E35">
                  <w:pPr>
                    <w:jc w:val="center"/>
                    <w:rPr>
                      <w:rFonts w:ascii="Arial Narrow" w:hAnsi="Arial Narrow" w:cs="Arial"/>
                      <w:b/>
                      <w:i/>
                      <w:sz w:val="16"/>
                      <w:szCs w:val="16"/>
                      <w:lang w:eastAsia="pt-PT"/>
                    </w:rPr>
                  </w:pPr>
                  <w:r w:rsidRPr="00D47953">
                    <w:rPr>
                      <w:rFonts w:ascii="Arial Narrow" w:hAnsi="Arial Narrow" w:cs="Arial"/>
                      <w:b/>
                      <w:i/>
                      <w:sz w:val="16"/>
                      <w:szCs w:val="16"/>
                      <w:lang w:eastAsia="pt-PT"/>
                    </w:rPr>
                    <w:t>50 Km</w:t>
                  </w:r>
                </w:p>
              </w:tc>
              <w:tc>
                <w:tcPr>
                  <w:tcW w:w="1560" w:type="dxa"/>
                  <w:tcBorders>
                    <w:top w:val="single" w:sz="6" w:space="0" w:color="auto"/>
                    <w:left w:val="nil"/>
                    <w:bottom w:val="single" w:sz="6"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Without amplification</w:t>
                  </w:r>
                </w:p>
              </w:tc>
              <w:tc>
                <w:tcPr>
                  <w:tcW w:w="850" w:type="dxa"/>
                  <w:tcBorders>
                    <w:top w:val="single" w:sz="6" w:space="0" w:color="auto"/>
                    <w:left w:val="nil"/>
                    <w:bottom w:val="single" w:sz="6"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4.5E-03</w:t>
                  </w:r>
                </w:p>
              </w:tc>
            </w:tr>
            <w:tr w:rsidR="004B1E35" w:rsidRPr="00D47953" w:rsidTr="004B1E35">
              <w:trPr>
                <w:trHeight w:val="255"/>
              </w:trPr>
              <w:tc>
                <w:tcPr>
                  <w:tcW w:w="1701" w:type="dxa"/>
                  <w:vMerge/>
                  <w:tcBorders>
                    <w:top w:val="single" w:sz="6" w:space="0" w:color="auto"/>
                    <w:left w:val="nil"/>
                    <w:bottom w:val="single" w:sz="8" w:space="0" w:color="auto"/>
                    <w:right w:val="nil"/>
                  </w:tcBorders>
                  <w:vAlign w:val="center"/>
                </w:tcPr>
                <w:p w:rsidR="004B1E35" w:rsidRPr="00D47953" w:rsidRDefault="004B1E35" w:rsidP="004B1E35">
                  <w:pPr>
                    <w:jc w:val="center"/>
                    <w:rPr>
                      <w:rFonts w:ascii="Arial Narrow" w:hAnsi="Arial Narrow" w:cs="Times"/>
                      <w:sz w:val="16"/>
                      <w:szCs w:val="16"/>
                      <w:lang w:eastAsia="pt-PT"/>
                    </w:rPr>
                  </w:pPr>
                </w:p>
              </w:tc>
              <w:tc>
                <w:tcPr>
                  <w:tcW w:w="1560" w:type="dxa"/>
                  <w:tcBorders>
                    <w:top w:val="single" w:sz="6" w:space="0" w:color="auto"/>
                    <w:left w:val="nil"/>
                    <w:bottom w:val="single" w:sz="8" w:space="0" w:color="auto"/>
                    <w:right w:val="nil"/>
                  </w:tcBorders>
                  <w:noWrap/>
                  <w:vAlign w:val="center"/>
                </w:tcPr>
                <w:p w:rsidR="004B1E35" w:rsidRPr="00D47953" w:rsidRDefault="004B1E35" w:rsidP="004B1E35">
                  <w:pPr>
                    <w:jc w:val="center"/>
                    <w:rPr>
                      <w:rFonts w:ascii="Arial Narrow" w:hAnsi="Arial Narrow" w:cs="Arial"/>
                      <w:sz w:val="16"/>
                      <w:szCs w:val="16"/>
                      <w:lang w:eastAsia="pt-PT"/>
                    </w:rPr>
                  </w:pPr>
                  <w:r w:rsidRPr="00D47953">
                    <w:rPr>
                      <w:rFonts w:ascii="Arial Narrow" w:hAnsi="Arial Narrow" w:cs="Arial"/>
                      <w:sz w:val="16"/>
                      <w:szCs w:val="16"/>
                      <w:lang w:eastAsia="pt-PT"/>
                    </w:rPr>
                    <w:t>Raman amplification</w:t>
                  </w:r>
                </w:p>
              </w:tc>
              <w:tc>
                <w:tcPr>
                  <w:tcW w:w="850" w:type="dxa"/>
                  <w:tcBorders>
                    <w:top w:val="single" w:sz="6" w:space="0" w:color="auto"/>
                    <w:left w:val="nil"/>
                    <w:bottom w:val="single" w:sz="8" w:space="0" w:color="auto"/>
                    <w:right w:val="nil"/>
                  </w:tcBorders>
                  <w:noWrap/>
                  <w:vAlign w:val="bottom"/>
                </w:tcPr>
                <w:p w:rsidR="004B1E35" w:rsidRPr="00D47953" w:rsidRDefault="004B1E35" w:rsidP="004B1E35">
                  <w:pPr>
                    <w:jc w:val="right"/>
                    <w:rPr>
                      <w:rFonts w:ascii="Arial Narrow" w:hAnsi="Arial Narrow" w:cs="Arial"/>
                      <w:sz w:val="16"/>
                      <w:szCs w:val="16"/>
                      <w:lang w:eastAsia="en-GB"/>
                    </w:rPr>
                  </w:pPr>
                  <w:r w:rsidRPr="00D47953">
                    <w:rPr>
                      <w:rFonts w:ascii="Arial Narrow" w:hAnsi="Arial Narrow" w:cs="Arial"/>
                      <w:sz w:val="16"/>
                      <w:szCs w:val="16"/>
                      <w:lang w:eastAsia="en-GB"/>
                    </w:rPr>
                    <w:t>7.4E-04</w:t>
                  </w:r>
                </w:p>
              </w:tc>
            </w:tr>
          </w:tbl>
          <w:p w:rsidR="004B1E35" w:rsidRPr="00D47953" w:rsidRDefault="004B1E35" w:rsidP="004825F8">
            <w:pPr>
              <w:keepNext/>
              <w:jc w:val="center"/>
              <w:rPr>
                <w:sz w:val="16"/>
                <w:szCs w:val="16"/>
              </w:rPr>
            </w:pPr>
          </w:p>
          <w:p w:rsidR="005703AC" w:rsidRPr="00D47953" w:rsidRDefault="004B1E35" w:rsidP="004825F8">
            <w:pPr>
              <w:keepNext/>
              <w:jc w:val="center"/>
              <w:rPr>
                <w:sz w:val="16"/>
                <w:szCs w:val="16"/>
                <w:lang w:val="en-GB"/>
              </w:rPr>
            </w:pPr>
            <w:r w:rsidRPr="00D47953">
              <w:rPr>
                <w:bCs/>
                <w:sz w:val="18"/>
                <w:szCs w:val="18"/>
              </w:rPr>
              <w:t xml:space="preserve">Table </w:t>
            </w:r>
            <w:r w:rsidR="008337C9" w:rsidRPr="00D47953">
              <w:rPr>
                <w:bCs/>
                <w:sz w:val="18"/>
                <w:szCs w:val="18"/>
              </w:rPr>
              <w:fldChar w:fldCharType="begin"/>
            </w:r>
            <w:r w:rsidRPr="00D47953">
              <w:rPr>
                <w:bCs/>
                <w:sz w:val="18"/>
                <w:szCs w:val="18"/>
              </w:rPr>
              <w:instrText xml:space="preserve"> SEQ Table \* ARABIC </w:instrText>
            </w:r>
            <w:r w:rsidR="008337C9" w:rsidRPr="00D47953">
              <w:rPr>
                <w:bCs/>
                <w:sz w:val="18"/>
                <w:szCs w:val="18"/>
              </w:rPr>
              <w:fldChar w:fldCharType="separate"/>
            </w:r>
            <w:r w:rsidR="00117E86">
              <w:rPr>
                <w:bCs/>
                <w:noProof/>
                <w:sz w:val="18"/>
                <w:szCs w:val="18"/>
              </w:rPr>
              <w:t>1</w:t>
            </w:r>
            <w:r w:rsidR="008337C9" w:rsidRPr="00D47953">
              <w:rPr>
                <w:bCs/>
                <w:sz w:val="18"/>
                <w:szCs w:val="18"/>
              </w:rPr>
              <w:fldChar w:fldCharType="end"/>
            </w:r>
            <w:bookmarkEnd w:id="4"/>
            <w:r w:rsidRPr="00D47953">
              <w:rPr>
                <w:bCs/>
                <w:sz w:val="18"/>
                <w:szCs w:val="18"/>
              </w:rPr>
              <w:t xml:space="preserve"> – Refractive index resolutions obtained with the dynamic interrogation technique for the </w:t>
            </w:r>
            <w:r w:rsidR="00AA53BF">
              <w:rPr>
                <w:bCs/>
                <w:sz w:val="18"/>
                <w:szCs w:val="18"/>
              </w:rPr>
              <w:t xml:space="preserve">several studied </w:t>
            </w:r>
            <w:r w:rsidRPr="00D47953">
              <w:rPr>
                <w:bCs/>
                <w:sz w:val="18"/>
                <w:szCs w:val="18"/>
              </w:rPr>
              <w:t>configurations</w:t>
            </w:r>
            <w:r w:rsidR="00AA53BF">
              <w:rPr>
                <w:bCs/>
                <w:sz w:val="18"/>
                <w:szCs w:val="18"/>
              </w:rPr>
              <w:t>.</w:t>
            </w:r>
            <w:r w:rsidRPr="00D47953">
              <w:rPr>
                <w:sz w:val="16"/>
                <w:szCs w:val="16"/>
              </w:rPr>
              <w:t xml:space="preserve"> </w:t>
            </w:r>
            <w:bookmarkEnd w:id="5"/>
          </w:p>
        </w:tc>
      </w:tr>
    </w:tbl>
    <w:p w:rsidR="004B1E35" w:rsidRPr="00D47953" w:rsidRDefault="004B1E35" w:rsidP="003F12BC">
      <w:pPr>
        <w:pStyle w:val="BodyofPaper"/>
      </w:pPr>
      <w:r w:rsidRPr="00D47953">
        <w:t>These results permit to state the following: first, the technique proposed based on signal reading outside the 1/</w:t>
      </w:r>
      <w:r w:rsidRPr="00632662">
        <w:rPr>
          <w:i/>
        </w:rPr>
        <w:t>f</w:t>
      </w:r>
      <w:r w:rsidRPr="00D47953">
        <w:t xml:space="preserve"> noise level is effective for refractive index measurement with </w:t>
      </w:r>
      <w:r w:rsidR="00E96E74" w:rsidRPr="00D47953">
        <w:t xml:space="preserve">a resolution that compares favorably with the obtained using the standard DC approach (which is typically around </w:t>
      </w:r>
      <w:r w:rsidR="00E96E74" w:rsidRPr="00D47953">
        <w:rPr>
          <w:position w:val="-6"/>
        </w:rPr>
        <w:object w:dxaOrig="700" w:dyaOrig="320">
          <v:shape id="_x0000_i1034" type="#_x0000_t75" style="width:29pt;height:13.1pt" o:ole="">
            <v:imagedata r:id="rId30" o:title=""/>
          </v:shape>
          <o:OLEObject Type="Embed" ProgID="Equation.DSMT4" ShapeID="_x0000_i1034" DrawAspect="Content" ObjectID="_1340432405" r:id="rId31"/>
        </w:object>
      </w:r>
      <w:r w:rsidR="00E96E74" w:rsidRPr="00D47953">
        <w:t xml:space="preserve">[8]), and </w:t>
      </w:r>
      <w:r w:rsidR="00D47953" w:rsidRPr="00D47953">
        <w:t>this in the situation where the</w:t>
      </w:r>
      <w:r w:rsidR="00E96E74" w:rsidRPr="00D47953">
        <w:t xml:space="preserve"> localization of the FBGs relative to the LPG spectral res</w:t>
      </w:r>
      <w:r w:rsidR="00AA53BF">
        <w:t>ponse was far from being optimis</w:t>
      </w:r>
      <w:r w:rsidR="00E96E74" w:rsidRPr="00D47953">
        <w:t xml:space="preserve">ed. Second, amplification associated with the processing employed provides a combination that permits to keep interesting resolutions even when the sensing head is remotely located. These two characteristics route to the critical aspect of operating far from the low-frequency noise. Indeed, from Figure 4-b comes out that the noise level present in these experiments </w:t>
      </w:r>
      <w:r w:rsidR="00D47953" w:rsidRPr="00D47953">
        <w:t>was ~ 25 dB lower than the one shown</w:t>
      </w:r>
      <w:r w:rsidR="00E96E74" w:rsidRPr="00D47953">
        <w:t xml:space="preserve"> </w:t>
      </w:r>
      <w:r w:rsidR="00157978" w:rsidRPr="00D47953">
        <w:t xml:space="preserve">at 1 Hz, which far compensates the lower signal variations associated with </w:t>
      </w:r>
      <w:r w:rsidR="00D47953" w:rsidRPr="00D47953">
        <w:t xml:space="preserve">the </w:t>
      </w:r>
      <w:r w:rsidR="00157978" w:rsidRPr="00D47953">
        <w:t>proposed slope readout technique. Fur</w:t>
      </w:r>
      <w:r w:rsidR="00D47953" w:rsidRPr="00D47953">
        <w:t>ther work is going on to</w:t>
      </w:r>
      <w:r w:rsidR="00157978" w:rsidRPr="00D47953">
        <w:t xml:space="preserve"> explore the potential of this interrogation technique</w:t>
      </w:r>
      <w:r w:rsidR="00D47953" w:rsidRPr="00D47953">
        <w:t>, which</w:t>
      </w:r>
      <w:r w:rsidR="00157978" w:rsidRPr="00D47953">
        <w:t xml:space="preserve"> can be applied not only to LPGs but also for other structures used for measurement of DC or quasi-DC measurands (such as SPR devices).</w:t>
      </w:r>
    </w:p>
    <w:p w:rsidR="00FD64D2" w:rsidRPr="00D47953" w:rsidRDefault="00FD64D2" w:rsidP="003F12BC">
      <w:pPr>
        <w:pStyle w:val="Ttulo1"/>
        <w:spacing w:before="120"/>
      </w:pPr>
      <w:r w:rsidRPr="00D47953">
        <w:t>Conclusion</w:t>
      </w:r>
    </w:p>
    <w:p w:rsidR="00157978" w:rsidRPr="00D47953" w:rsidRDefault="00157978" w:rsidP="003F12BC">
      <w:pPr>
        <w:pStyle w:val="BodyofPaper"/>
      </w:pPr>
      <w:r w:rsidRPr="00D47953">
        <w:t>In this work</w:t>
      </w:r>
      <w:r w:rsidR="009F147E" w:rsidRPr="00D47953">
        <w:t xml:space="preserve"> </w:t>
      </w:r>
      <w:r w:rsidR="00C7557B" w:rsidRPr="00D47953">
        <w:t xml:space="preserve">a </w:t>
      </w:r>
      <w:r w:rsidRPr="00D47953">
        <w:t>dynamic</w:t>
      </w:r>
      <w:r w:rsidR="00963AD9" w:rsidRPr="00D47953">
        <w:t xml:space="preserve"> </w:t>
      </w:r>
      <w:r w:rsidR="00C7557B" w:rsidRPr="00D47953">
        <w:t xml:space="preserve">LPG interrogation technique </w:t>
      </w:r>
      <w:r w:rsidR="009F147E" w:rsidRPr="00D47953">
        <w:t xml:space="preserve">was </w:t>
      </w:r>
      <w:r w:rsidR="00963AD9" w:rsidRPr="00D47953">
        <w:t>presented</w:t>
      </w:r>
      <w:r w:rsidR="009F147E" w:rsidRPr="00D47953">
        <w:t xml:space="preserve">. It was </w:t>
      </w:r>
      <w:r w:rsidR="00C7557B" w:rsidRPr="00D47953">
        <w:t>based on the</w:t>
      </w:r>
      <w:r w:rsidR="009F147E" w:rsidRPr="00D47953">
        <w:t xml:space="preserve"> analysis of the electrical spectrum of two</w:t>
      </w:r>
      <w:r w:rsidR="00C7557B" w:rsidRPr="00D47953">
        <w:t xml:space="preserve"> modulat</w:t>
      </w:r>
      <w:r w:rsidR="009F147E" w:rsidRPr="00D47953">
        <w:t>ed</w:t>
      </w:r>
      <w:r w:rsidR="00C7557B" w:rsidRPr="00D47953">
        <w:t xml:space="preserve"> </w:t>
      </w:r>
      <w:r w:rsidR="00857E67" w:rsidRPr="00D47953">
        <w:t>fibre</w:t>
      </w:r>
      <w:r w:rsidR="00C7557B" w:rsidRPr="00D47953">
        <w:t xml:space="preserve"> Bragg gratings located in the </w:t>
      </w:r>
      <w:r w:rsidR="009F147E" w:rsidRPr="00D47953">
        <w:t xml:space="preserve">LPG edges. This concept </w:t>
      </w:r>
      <w:r w:rsidR="00C7557B" w:rsidRPr="00D47953">
        <w:t>permit</w:t>
      </w:r>
      <w:r w:rsidRPr="00D47953">
        <w:t>s</w:t>
      </w:r>
      <w:r w:rsidR="00C7557B" w:rsidRPr="00D47953">
        <w:t xml:space="preserve"> to attenuate the effect of the </w:t>
      </w:r>
      <w:r w:rsidR="00C7557B" w:rsidRPr="00D47953">
        <w:rPr>
          <w:i/>
        </w:rPr>
        <w:t>1/f</w:t>
      </w:r>
      <w:r w:rsidR="00C7557B" w:rsidRPr="00D47953">
        <w:t xml:space="preserve"> noise of the electronics </w:t>
      </w:r>
      <w:r w:rsidRPr="00D47953">
        <w:t xml:space="preserve">when determining </w:t>
      </w:r>
      <w:r w:rsidR="00C7557B" w:rsidRPr="00D47953">
        <w:t xml:space="preserve">the </w:t>
      </w:r>
      <w:r w:rsidRPr="00D47953">
        <w:t xml:space="preserve">refractive index measurement </w:t>
      </w:r>
      <w:r w:rsidR="003F12BC" w:rsidRPr="00D47953">
        <w:t>resolution</w:t>
      </w:r>
      <w:r w:rsidRPr="00D47953">
        <w:t>.</w:t>
      </w:r>
    </w:p>
    <w:p w:rsidR="003F12BC" w:rsidRPr="00D47953" w:rsidRDefault="003F12BC" w:rsidP="003F12BC">
      <w:pPr>
        <w:pStyle w:val="Ttulo1"/>
        <w:spacing w:before="120"/>
      </w:pPr>
      <w:r w:rsidRPr="00D47953">
        <w:t>Acknowledgements</w:t>
      </w:r>
    </w:p>
    <w:p w:rsidR="00157978" w:rsidRPr="00D47953" w:rsidRDefault="003F12BC" w:rsidP="00C7557B">
      <w:pPr>
        <w:pStyle w:val="BodyofPaper"/>
      </w:pPr>
      <w:r w:rsidRPr="00D47953">
        <w:t xml:space="preserve">This work was supported by project </w:t>
      </w:r>
      <w:r w:rsidR="00361EC6">
        <w:t>AMBISENSE (CNPq 61/2008; FCT 411.00</w:t>
      </w:r>
      <w:r w:rsidRPr="00D47953">
        <w:t>)</w:t>
      </w:r>
      <w:r w:rsidR="00361EC6">
        <w:t>.</w:t>
      </w:r>
    </w:p>
    <w:p w:rsidR="00FE6218" w:rsidRPr="00D47953" w:rsidRDefault="00FE6218" w:rsidP="003F12BC">
      <w:pPr>
        <w:pStyle w:val="SPIEreferences"/>
        <w:spacing w:before="120" w:after="120"/>
      </w:pPr>
      <w:r w:rsidRPr="00D47953">
        <w:t>References</w:t>
      </w:r>
    </w:p>
    <w:p w:rsidR="0043730A" w:rsidRPr="00D47953" w:rsidRDefault="0043730A" w:rsidP="00330B5F">
      <w:pPr>
        <w:pStyle w:val="MCReference"/>
        <w:rPr>
          <w:sz w:val="18"/>
          <w:szCs w:val="18"/>
        </w:rPr>
      </w:pPr>
      <w:r w:rsidRPr="00D47953">
        <w:rPr>
          <w:sz w:val="18"/>
          <w:szCs w:val="18"/>
        </w:rPr>
        <w:t>[1]  A. M. Vengsarkar, P. J. Lemaire, J. B. Judkins, V. Bhatia, T. Erdogan, J. E. Sipe, “</w:t>
      </w:r>
      <w:r w:rsidRPr="00D47953">
        <w:rPr>
          <w:i/>
          <w:sz w:val="18"/>
          <w:szCs w:val="18"/>
        </w:rPr>
        <w:t>Long-period fiber gratings as band-rejection filters</w:t>
      </w:r>
      <w:r w:rsidRPr="00D47953">
        <w:rPr>
          <w:sz w:val="18"/>
          <w:szCs w:val="18"/>
        </w:rPr>
        <w:t xml:space="preserve">”, Journal of </w:t>
      </w:r>
      <w:r w:rsidR="003F12BC" w:rsidRPr="00D47953">
        <w:rPr>
          <w:sz w:val="18"/>
          <w:szCs w:val="18"/>
        </w:rPr>
        <w:t xml:space="preserve">Lightwave </w:t>
      </w:r>
      <w:r w:rsidR="00AA53BF" w:rsidRPr="00D47953">
        <w:rPr>
          <w:sz w:val="18"/>
          <w:szCs w:val="18"/>
        </w:rPr>
        <w:t>Technology</w:t>
      </w:r>
      <w:r w:rsidR="003F12BC" w:rsidRPr="00D47953">
        <w:rPr>
          <w:sz w:val="18"/>
          <w:szCs w:val="18"/>
        </w:rPr>
        <w:t>, 14, 58-64</w:t>
      </w:r>
      <w:r w:rsidRPr="00D47953">
        <w:rPr>
          <w:sz w:val="18"/>
          <w:szCs w:val="18"/>
        </w:rPr>
        <w:t>, 1996.</w:t>
      </w:r>
    </w:p>
    <w:p w:rsidR="0043730A" w:rsidRPr="00D47953" w:rsidRDefault="0043730A" w:rsidP="00330B5F">
      <w:pPr>
        <w:jc w:val="both"/>
        <w:rPr>
          <w:sz w:val="18"/>
          <w:szCs w:val="18"/>
        </w:rPr>
      </w:pPr>
      <w:r w:rsidRPr="00D47953">
        <w:rPr>
          <w:sz w:val="18"/>
          <w:szCs w:val="18"/>
        </w:rPr>
        <w:t>[2] J. M. López-Higuera (Editor), “</w:t>
      </w:r>
      <w:r w:rsidRPr="00D47953">
        <w:rPr>
          <w:i/>
          <w:sz w:val="18"/>
          <w:szCs w:val="18"/>
        </w:rPr>
        <w:t>Handbook of Optical Fibre Sensing Technology</w:t>
      </w:r>
      <w:r w:rsidRPr="00D47953">
        <w:rPr>
          <w:sz w:val="18"/>
          <w:szCs w:val="18"/>
        </w:rPr>
        <w:t>”, John Wiley (2002).</w:t>
      </w:r>
    </w:p>
    <w:p w:rsidR="00330B5F" w:rsidRPr="00D47953" w:rsidRDefault="00330B5F" w:rsidP="00330B5F">
      <w:pPr>
        <w:pStyle w:val="References"/>
        <w:numPr>
          <w:ilvl w:val="0"/>
          <w:numId w:val="0"/>
        </w:numPr>
        <w:rPr>
          <w:sz w:val="18"/>
          <w:szCs w:val="18"/>
        </w:rPr>
      </w:pPr>
      <w:r w:rsidRPr="00D47953">
        <w:rPr>
          <w:sz w:val="18"/>
          <w:szCs w:val="18"/>
          <w:lang w:val="en-GB"/>
        </w:rPr>
        <w:t>[3] S. W. James, R. P. Tatam, ”</w:t>
      </w:r>
      <w:r w:rsidRPr="00D47953">
        <w:rPr>
          <w:i/>
          <w:sz w:val="18"/>
          <w:szCs w:val="18"/>
        </w:rPr>
        <w:t>Optical fibre long-period grating sensors: characteristics and application</w:t>
      </w:r>
      <w:r w:rsidRPr="00D47953">
        <w:rPr>
          <w:sz w:val="18"/>
          <w:szCs w:val="18"/>
        </w:rPr>
        <w:t>”, Measurement S</w:t>
      </w:r>
      <w:r w:rsidR="003F12BC" w:rsidRPr="00D47953">
        <w:rPr>
          <w:sz w:val="18"/>
          <w:szCs w:val="18"/>
        </w:rPr>
        <w:t>cience and Technology, 14, 49-56</w:t>
      </w:r>
      <w:r w:rsidRPr="00D47953">
        <w:rPr>
          <w:sz w:val="18"/>
          <w:szCs w:val="18"/>
        </w:rPr>
        <w:t>, 2003.</w:t>
      </w:r>
    </w:p>
    <w:p w:rsidR="0012665F" w:rsidRPr="00D47953" w:rsidRDefault="00B769A2" w:rsidP="00B769A2">
      <w:pPr>
        <w:pStyle w:val="References"/>
        <w:numPr>
          <w:ilvl w:val="0"/>
          <w:numId w:val="0"/>
        </w:numPr>
        <w:rPr>
          <w:sz w:val="18"/>
          <w:szCs w:val="18"/>
          <w:lang w:val="en-GB"/>
        </w:rPr>
      </w:pPr>
      <w:r w:rsidRPr="00D47953">
        <w:rPr>
          <w:sz w:val="18"/>
          <w:szCs w:val="18"/>
          <w:lang w:val="en-GB"/>
        </w:rPr>
        <w:t>[4</w:t>
      </w:r>
      <w:r w:rsidR="0012665F" w:rsidRPr="00D47953">
        <w:rPr>
          <w:sz w:val="18"/>
          <w:szCs w:val="18"/>
          <w:lang w:val="en-GB"/>
        </w:rPr>
        <w:t>] H. Dobb, K. Kalli, D. J. Webb, “</w:t>
      </w:r>
      <w:r w:rsidR="0012665F" w:rsidRPr="00D47953">
        <w:rPr>
          <w:i/>
          <w:sz w:val="18"/>
          <w:szCs w:val="18"/>
          <w:lang w:val="en-GB"/>
        </w:rPr>
        <w:t>Temperature-insensitive long-period grating sensors in photonic crystal fiber</w:t>
      </w:r>
      <w:r w:rsidR="0012665F" w:rsidRPr="00D47953">
        <w:rPr>
          <w:sz w:val="18"/>
          <w:szCs w:val="18"/>
          <w:lang w:val="en-GB"/>
        </w:rPr>
        <w:t>”, Electronics Letters, 40, 657-658, 2004.</w:t>
      </w:r>
    </w:p>
    <w:p w:rsidR="0012665F" w:rsidRPr="00D47953" w:rsidRDefault="0012665F" w:rsidP="0012665F">
      <w:pPr>
        <w:pStyle w:val="References"/>
        <w:numPr>
          <w:ilvl w:val="0"/>
          <w:numId w:val="0"/>
        </w:numPr>
        <w:rPr>
          <w:sz w:val="18"/>
          <w:szCs w:val="18"/>
          <w:lang w:val="en-GB"/>
        </w:rPr>
      </w:pPr>
      <w:r w:rsidRPr="00D47953">
        <w:rPr>
          <w:sz w:val="18"/>
          <w:szCs w:val="18"/>
          <w:lang w:val="en-GB"/>
        </w:rPr>
        <w:t>[5] J. S. Petrovic, H. Dobb, V. K. Mezentsev, K. Kalli, D. J. Webb, I. Bennion, “</w:t>
      </w:r>
      <w:r w:rsidRPr="00D47953">
        <w:rPr>
          <w:i/>
          <w:sz w:val="18"/>
          <w:szCs w:val="18"/>
          <w:lang w:val="en-GB"/>
        </w:rPr>
        <w:t>Sensitivity of LPGs in PCFs fabricated by an electric arc to temperature, strain and external refractive index</w:t>
      </w:r>
      <w:r w:rsidRPr="00D47953">
        <w:rPr>
          <w:sz w:val="18"/>
          <w:szCs w:val="18"/>
          <w:lang w:val="en-GB"/>
        </w:rPr>
        <w:t>”, Journal of Lightwave Technology, 25, 1306-1312, 2007.</w:t>
      </w:r>
    </w:p>
    <w:p w:rsidR="00D95237" w:rsidRPr="00D47953" w:rsidRDefault="0012665F" w:rsidP="0012665F">
      <w:pPr>
        <w:pStyle w:val="References"/>
        <w:numPr>
          <w:ilvl w:val="0"/>
          <w:numId w:val="0"/>
        </w:numPr>
        <w:rPr>
          <w:sz w:val="18"/>
          <w:szCs w:val="18"/>
          <w:lang w:val="en-GB"/>
        </w:rPr>
      </w:pPr>
      <w:r w:rsidRPr="00D47953">
        <w:rPr>
          <w:sz w:val="18"/>
          <w:szCs w:val="18"/>
          <w:lang w:val="en-GB"/>
        </w:rPr>
        <w:t>[6] L. Rindorf, O. Bang, “</w:t>
      </w:r>
      <w:r w:rsidRPr="00D47953">
        <w:rPr>
          <w:i/>
          <w:sz w:val="18"/>
          <w:szCs w:val="18"/>
          <w:lang w:val="en-GB"/>
        </w:rPr>
        <w:t>Highly sensitive refractometer with a photonic crystal-fiber long-period grating</w:t>
      </w:r>
      <w:r w:rsidRPr="00D47953">
        <w:rPr>
          <w:sz w:val="18"/>
          <w:szCs w:val="18"/>
          <w:lang w:val="en-GB"/>
        </w:rPr>
        <w:t>”, Optics Letters, 33, 563-564, 2008.</w:t>
      </w:r>
    </w:p>
    <w:p w:rsidR="00D95237" w:rsidRPr="00D47953" w:rsidRDefault="00D95237" w:rsidP="00E16D92">
      <w:pPr>
        <w:pStyle w:val="ReferenceNums"/>
        <w:ind w:left="0" w:firstLine="0"/>
        <w:jc w:val="both"/>
        <w:rPr>
          <w:sz w:val="18"/>
          <w:szCs w:val="18"/>
          <w:lang w:val="en-GB"/>
        </w:rPr>
      </w:pPr>
      <w:r w:rsidRPr="00D47953">
        <w:rPr>
          <w:sz w:val="18"/>
          <w:szCs w:val="18"/>
          <w:lang w:val="en-GB"/>
        </w:rPr>
        <w:t>[7] H.J. Patrick, G.M. Williams, A.D. Kersey, J.R. Pedrazzani, A.M. Vengsarkar, “</w:t>
      </w:r>
      <w:r w:rsidR="00E16D92" w:rsidRPr="00D47953">
        <w:rPr>
          <w:i/>
          <w:sz w:val="18"/>
          <w:szCs w:val="18"/>
          <w:lang w:val="en-GB"/>
        </w:rPr>
        <w:t>Hybrid fiber Bragg grating/long period fiber grating sensor for strain/temperature d</w:t>
      </w:r>
      <w:r w:rsidRPr="00D47953">
        <w:rPr>
          <w:i/>
          <w:sz w:val="18"/>
          <w:szCs w:val="18"/>
          <w:lang w:val="en-GB"/>
        </w:rPr>
        <w:t>iscrimination</w:t>
      </w:r>
      <w:r w:rsidRPr="00D47953">
        <w:rPr>
          <w:sz w:val="18"/>
          <w:szCs w:val="18"/>
          <w:lang w:val="en-GB"/>
        </w:rPr>
        <w:t>”, IEEE Photonics Technology Letters, 8, 1223-1225, 1996.</w:t>
      </w:r>
    </w:p>
    <w:p w:rsidR="00E16D92" w:rsidRPr="00D47953" w:rsidRDefault="00E16D92" w:rsidP="00E16D92">
      <w:pPr>
        <w:jc w:val="both"/>
        <w:rPr>
          <w:sz w:val="18"/>
          <w:szCs w:val="18"/>
          <w:lang w:val="en-GB"/>
        </w:rPr>
      </w:pPr>
      <w:r w:rsidRPr="00D47953">
        <w:rPr>
          <w:sz w:val="18"/>
          <w:szCs w:val="18"/>
          <w:lang w:val="en-GB"/>
        </w:rPr>
        <w:t>[8] R. Falate, O. Frazão, G. Rego, J. L. Fabris, J. L. Santos, “</w:t>
      </w:r>
      <w:r w:rsidRPr="00D47953">
        <w:rPr>
          <w:i/>
          <w:sz w:val="18"/>
          <w:szCs w:val="18"/>
          <w:lang w:val="en-GB"/>
        </w:rPr>
        <w:t>Refractometric sensor based on a phase-shifted long-period fiber grating</w:t>
      </w:r>
      <w:r w:rsidRPr="00D47953">
        <w:rPr>
          <w:sz w:val="18"/>
          <w:szCs w:val="18"/>
          <w:lang w:val="en-GB"/>
        </w:rPr>
        <w:t>”, Applied Optics, 45, 5066-5072, 2006.</w:t>
      </w:r>
    </w:p>
    <w:p w:rsidR="00EC6EC1" w:rsidRPr="00D47953" w:rsidRDefault="00EC6EC1" w:rsidP="00EC6EC1">
      <w:pPr>
        <w:spacing w:after="120"/>
        <w:jc w:val="both"/>
        <w:rPr>
          <w:sz w:val="18"/>
          <w:szCs w:val="18"/>
        </w:rPr>
      </w:pPr>
      <w:r w:rsidRPr="00D47953">
        <w:rPr>
          <w:sz w:val="18"/>
          <w:szCs w:val="18"/>
          <w:lang w:val="en-GB"/>
        </w:rPr>
        <w:t xml:space="preserve"> [9] </w:t>
      </w:r>
      <w:smartTag w:uri="urn:schemas-microsoft-com:office:smarttags" w:element="City">
        <w:smartTag w:uri="urn:schemas-microsoft-com:office:smarttags" w:element="place">
          <w:r w:rsidRPr="00D47953">
            <w:rPr>
              <w:sz w:val="18"/>
              <w:szCs w:val="18"/>
              <w:lang w:val="en-GB"/>
            </w:rPr>
            <w:t>L.A.</w:t>
          </w:r>
        </w:smartTag>
      </w:smartTag>
      <w:r w:rsidRPr="00D47953">
        <w:rPr>
          <w:sz w:val="18"/>
          <w:szCs w:val="18"/>
          <w:lang w:val="en-GB"/>
        </w:rPr>
        <w:t xml:space="preserve"> Ferreira, E.V. Diatzikis, J. L. Santos,</w:t>
      </w:r>
      <w:r w:rsidRPr="00D47953">
        <w:rPr>
          <w:sz w:val="18"/>
          <w:szCs w:val="18"/>
        </w:rPr>
        <w:t xml:space="preserve"> </w:t>
      </w:r>
      <w:r w:rsidRPr="00D47953">
        <w:rPr>
          <w:sz w:val="18"/>
          <w:szCs w:val="18"/>
          <w:lang w:val="en-GB"/>
        </w:rPr>
        <w:t>F. Farahi</w:t>
      </w:r>
      <w:r w:rsidRPr="00D47953">
        <w:rPr>
          <w:sz w:val="18"/>
          <w:szCs w:val="18"/>
        </w:rPr>
        <w:t>, “</w:t>
      </w:r>
      <w:r w:rsidRPr="00D47953">
        <w:rPr>
          <w:i/>
          <w:sz w:val="18"/>
          <w:szCs w:val="18"/>
          <w:lang w:val="en-GB"/>
        </w:rPr>
        <w:t>Frequency Modulated Multimode Laser Diode for Fibre Bragg Grating Sensors</w:t>
      </w:r>
      <w:r w:rsidRPr="00D47953">
        <w:rPr>
          <w:sz w:val="18"/>
          <w:szCs w:val="18"/>
        </w:rPr>
        <w:t xml:space="preserve">”, </w:t>
      </w:r>
      <w:r w:rsidRPr="00D47953">
        <w:rPr>
          <w:sz w:val="18"/>
          <w:szCs w:val="18"/>
          <w:lang w:val="en-GB"/>
        </w:rPr>
        <w:t>Journal of Lightwave Tecnology, 16, 1620-1630, 1998.</w:t>
      </w:r>
    </w:p>
    <w:sectPr w:rsidR="00EC6EC1" w:rsidRPr="00D47953" w:rsidSect="00211E81">
      <w:headerReference w:type="default" r:id="rId32"/>
      <w:type w:val="continuous"/>
      <w:pgSz w:w="11909" w:h="16834" w:code="9"/>
      <w:pgMar w:top="1440" w:right="1094" w:bottom="2808" w:left="1094" w:header="0" w:footer="0" w:gutter="0"/>
      <w:paperSrc w:first="15" w:other="15"/>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0A" w:rsidRDefault="00AA050A">
      <w:r>
        <w:separator/>
      </w:r>
    </w:p>
  </w:endnote>
  <w:endnote w:type="continuationSeparator" w:id="0">
    <w:p w:rsidR="00AA050A" w:rsidRDefault="00AA05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0A" w:rsidRDefault="00AA050A">
      <w:r>
        <w:separator/>
      </w:r>
    </w:p>
  </w:footnote>
  <w:footnote w:type="continuationSeparator" w:id="0">
    <w:p w:rsidR="00AA050A" w:rsidRDefault="00AA0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53" w:rsidRDefault="00D47953">
    <w:pPr>
      <w:pStyle w:val="Cabealho"/>
    </w:pPr>
  </w:p>
  <w:p w:rsidR="00D47953" w:rsidRDefault="00D47953">
    <w:pPr>
      <w:pStyle w:val="Cabealho"/>
    </w:pPr>
  </w:p>
  <w:p w:rsidR="00D47953" w:rsidRDefault="00D47953" w:rsidP="00E270E5">
    <w:pPr>
      <w:pStyle w:val="SPIEheader"/>
    </w:pPr>
  </w:p>
  <w:p w:rsidR="00D47953" w:rsidRDefault="00D479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B86BDF"/>
    <w:multiLevelType w:val="hybridMultilevel"/>
    <w:tmpl w:val="16F6217C"/>
    <w:lvl w:ilvl="0" w:tplc="BF246E4E">
      <w:start w:val="1"/>
      <w:numFmt w:val="none"/>
      <w:lvlText w:val="25."/>
      <w:lvlJc w:val="left"/>
      <w:pPr>
        <w:tabs>
          <w:tab w:val="num" w:pos="360"/>
        </w:tabs>
        <w:ind w:left="36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B936C3E"/>
    <w:multiLevelType w:val="multilevel"/>
    <w:tmpl w:val="8DA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860C3"/>
    <w:multiLevelType w:val="hybridMultilevel"/>
    <w:tmpl w:val="09E8772E"/>
    <w:lvl w:ilvl="0" w:tplc="97F06D4C">
      <w:start w:val="1"/>
      <w:numFmt w:val="lowerLetter"/>
      <w:lvlText w:val="(%1)"/>
      <w:lvlJc w:val="left"/>
      <w:pPr>
        <w:ind w:left="2130" w:hanging="360"/>
      </w:pPr>
      <w:rPr>
        <w:rFonts w:hint="default"/>
        <w:b w:val="0"/>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5">
    <w:nsid w:val="33087D39"/>
    <w:multiLevelType w:val="multilevel"/>
    <w:tmpl w:val="1686611C"/>
    <w:lvl w:ilvl="0">
      <w:start w:val="1"/>
      <w:numFmt w:val="decimal"/>
      <w:pStyle w:val="Ttulo1"/>
      <w:isLgl/>
      <w:lvlText w:val="%1."/>
      <w:lvlJc w:val="left"/>
      <w:pPr>
        <w:tabs>
          <w:tab w:val="num" w:pos="360"/>
        </w:tabs>
        <w:ind w:left="360" w:hanging="360"/>
      </w:pPr>
      <w:rPr>
        <w:rFonts w:hint="default"/>
      </w:rPr>
    </w:lvl>
    <w:lvl w:ilvl="1">
      <w:start w:val="1"/>
      <w:numFmt w:val="decimal"/>
      <w:pStyle w:val="Ttulo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353020B4"/>
    <w:multiLevelType w:val="hybridMultilevel"/>
    <w:tmpl w:val="38209F3C"/>
    <w:lvl w:ilvl="0" w:tplc="79CE6C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B43D2"/>
    <w:multiLevelType w:val="singleLevel"/>
    <w:tmpl w:val="54F0ED4E"/>
    <w:lvl w:ilvl="0">
      <w:start w:val="1"/>
      <w:numFmt w:val="decimal"/>
      <w:lvlText w:val="[%1]"/>
      <w:lvlJc w:val="left"/>
      <w:pPr>
        <w:tabs>
          <w:tab w:val="num" w:pos="0"/>
        </w:tabs>
        <w:ind w:left="360" w:hanging="360"/>
      </w:pPr>
      <w:rPr>
        <w:rFonts w:hint="default"/>
        <w:sz w:val="18"/>
      </w:r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3345044"/>
    <w:multiLevelType w:val="hybridMultilevel"/>
    <w:tmpl w:val="7C146D60"/>
    <w:lvl w:ilvl="0" w:tplc="79507312">
      <w:start w:val="1"/>
      <w:numFmt w:val="none"/>
      <w:lvlText w:val="82."/>
      <w:lvlJc w:val="left"/>
      <w:pPr>
        <w:tabs>
          <w:tab w:val="num" w:pos="360"/>
        </w:tabs>
        <w:ind w:left="360" w:hanging="360"/>
      </w:pPr>
      <w:rPr>
        <w:rFonts w:ascii="Times New Roman" w:hAnsi="Times New Roman" w:cs="Times New Roman" w:hint="default"/>
        <w:i w:val="0"/>
        <w:color w:val="auto"/>
        <w:sz w:val="20"/>
        <w:szCs w:val="20"/>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2">
    <w:nsid w:val="77CB79DB"/>
    <w:multiLevelType w:val="multilevel"/>
    <w:tmpl w:val="14E62F9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0"/>
  </w:num>
  <w:num w:numId="3">
    <w:abstractNumId w:val="5"/>
  </w:num>
  <w:num w:numId="4">
    <w:abstractNumId w:val="2"/>
  </w:num>
  <w:num w:numId="5">
    <w:abstractNumId w:val="10"/>
  </w:num>
  <w:num w:numId="6">
    <w:abstractNumId w:val="5"/>
  </w:num>
  <w:num w:numId="7">
    <w:abstractNumId w:val="5"/>
  </w:num>
  <w:num w:numId="8">
    <w:abstractNumId w:val="5"/>
  </w:num>
  <w:num w:numId="9">
    <w:abstractNumId w:val="12"/>
  </w:num>
  <w:num w:numId="10">
    <w:abstractNumId w:val="7"/>
  </w:num>
  <w:num w:numId="11">
    <w:abstractNumId w:val="9"/>
  </w:num>
  <w:num w:numId="12">
    <w:abstractNumId w:val="11"/>
  </w:num>
  <w:num w:numId="13">
    <w:abstractNumId w:val="1"/>
  </w:num>
  <w:num w:numId="14">
    <w:abstractNumId w:val="3"/>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gutterAtTop/>
  <w:stylePaneFormatFilter w:val="3608"/>
  <w:defaultTabStop w:val="720"/>
  <w:hyphenationZone w:val="425"/>
  <w:noPunctuationKerning/>
  <w:characterSpacingControl w:val="doNotCompress"/>
  <w:footnotePr>
    <w:footnote w:id="-1"/>
    <w:footnote w:id="0"/>
  </w:footnotePr>
  <w:endnotePr>
    <w:endnote w:id="-1"/>
    <w:endnote w:id="0"/>
  </w:endnotePr>
  <w:compat/>
  <w:rsids>
    <w:rsidRoot w:val="00751C06"/>
    <w:rsid w:val="000005B8"/>
    <w:rsid w:val="00001598"/>
    <w:rsid w:val="00005A4E"/>
    <w:rsid w:val="000064C8"/>
    <w:rsid w:val="0000702D"/>
    <w:rsid w:val="000076EA"/>
    <w:rsid w:val="00013ED5"/>
    <w:rsid w:val="000166EA"/>
    <w:rsid w:val="00023DF1"/>
    <w:rsid w:val="000309E9"/>
    <w:rsid w:val="0003507C"/>
    <w:rsid w:val="000352C7"/>
    <w:rsid w:val="00041C03"/>
    <w:rsid w:val="000441EE"/>
    <w:rsid w:val="00045337"/>
    <w:rsid w:val="00045CB8"/>
    <w:rsid w:val="000504A6"/>
    <w:rsid w:val="000574C6"/>
    <w:rsid w:val="000673B0"/>
    <w:rsid w:val="00067A0C"/>
    <w:rsid w:val="000800F7"/>
    <w:rsid w:val="0009087B"/>
    <w:rsid w:val="000A1FAF"/>
    <w:rsid w:val="000A7915"/>
    <w:rsid w:val="000B259F"/>
    <w:rsid w:val="000C578F"/>
    <w:rsid w:val="000C57F8"/>
    <w:rsid w:val="000C59FC"/>
    <w:rsid w:val="000D0A0E"/>
    <w:rsid w:val="000D2EB7"/>
    <w:rsid w:val="000D49FD"/>
    <w:rsid w:val="000E00C6"/>
    <w:rsid w:val="000E3035"/>
    <w:rsid w:val="000E3E61"/>
    <w:rsid w:val="000E50E5"/>
    <w:rsid w:val="000F042E"/>
    <w:rsid w:val="00101E0B"/>
    <w:rsid w:val="00116F27"/>
    <w:rsid w:val="00117E86"/>
    <w:rsid w:val="00125A02"/>
    <w:rsid w:val="0012665F"/>
    <w:rsid w:val="00127695"/>
    <w:rsid w:val="00127CE9"/>
    <w:rsid w:val="00135445"/>
    <w:rsid w:val="00146D09"/>
    <w:rsid w:val="0015249A"/>
    <w:rsid w:val="00154A29"/>
    <w:rsid w:val="00157978"/>
    <w:rsid w:val="00164F52"/>
    <w:rsid w:val="00166772"/>
    <w:rsid w:val="001775F5"/>
    <w:rsid w:val="001809A9"/>
    <w:rsid w:val="00181DC6"/>
    <w:rsid w:val="00183FC3"/>
    <w:rsid w:val="0019055E"/>
    <w:rsid w:val="001A0A66"/>
    <w:rsid w:val="001A3D1F"/>
    <w:rsid w:val="001A5B4E"/>
    <w:rsid w:val="001C698B"/>
    <w:rsid w:val="001E27D3"/>
    <w:rsid w:val="001E622C"/>
    <w:rsid w:val="001F18B3"/>
    <w:rsid w:val="00201A16"/>
    <w:rsid w:val="002035E8"/>
    <w:rsid w:val="00206444"/>
    <w:rsid w:val="00211E81"/>
    <w:rsid w:val="002122FA"/>
    <w:rsid w:val="00215486"/>
    <w:rsid w:val="0023557C"/>
    <w:rsid w:val="002455BD"/>
    <w:rsid w:val="00247282"/>
    <w:rsid w:val="00251989"/>
    <w:rsid w:val="0025270B"/>
    <w:rsid w:val="00261E66"/>
    <w:rsid w:val="00265DCB"/>
    <w:rsid w:val="00266386"/>
    <w:rsid w:val="002677D1"/>
    <w:rsid w:val="002732C9"/>
    <w:rsid w:val="00276A8E"/>
    <w:rsid w:val="00276D7F"/>
    <w:rsid w:val="00277B72"/>
    <w:rsid w:val="00285B28"/>
    <w:rsid w:val="00290E0B"/>
    <w:rsid w:val="00293252"/>
    <w:rsid w:val="00294FFD"/>
    <w:rsid w:val="0029518E"/>
    <w:rsid w:val="002961B7"/>
    <w:rsid w:val="002A07C8"/>
    <w:rsid w:val="002B29F5"/>
    <w:rsid w:val="002B61BF"/>
    <w:rsid w:val="002B6456"/>
    <w:rsid w:val="002C7E24"/>
    <w:rsid w:val="002D00A2"/>
    <w:rsid w:val="002E02EB"/>
    <w:rsid w:val="002E1163"/>
    <w:rsid w:val="002F0122"/>
    <w:rsid w:val="002F5511"/>
    <w:rsid w:val="00312E78"/>
    <w:rsid w:val="0031785E"/>
    <w:rsid w:val="00317A92"/>
    <w:rsid w:val="003266F4"/>
    <w:rsid w:val="003268CF"/>
    <w:rsid w:val="00330693"/>
    <w:rsid w:val="00330B5F"/>
    <w:rsid w:val="00331AFF"/>
    <w:rsid w:val="00337370"/>
    <w:rsid w:val="003579F2"/>
    <w:rsid w:val="003611D5"/>
    <w:rsid w:val="00361EC6"/>
    <w:rsid w:val="00376189"/>
    <w:rsid w:val="00393642"/>
    <w:rsid w:val="00395C9F"/>
    <w:rsid w:val="003A5B3C"/>
    <w:rsid w:val="003A754B"/>
    <w:rsid w:val="003B52E8"/>
    <w:rsid w:val="003C1F74"/>
    <w:rsid w:val="003E3B19"/>
    <w:rsid w:val="003F12BC"/>
    <w:rsid w:val="004007DB"/>
    <w:rsid w:val="00412D64"/>
    <w:rsid w:val="0042240A"/>
    <w:rsid w:val="00437088"/>
    <w:rsid w:val="0043730A"/>
    <w:rsid w:val="004409E8"/>
    <w:rsid w:val="00441145"/>
    <w:rsid w:val="00442BDF"/>
    <w:rsid w:val="00444E62"/>
    <w:rsid w:val="00456068"/>
    <w:rsid w:val="00457EE8"/>
    <w:rsid w:val="004626B8"/>
    <w:rsid w:val="00463170"/>
    <w:rsid w:val="00464C36"/>
    <w:rsid w:val="00475C9E"/>
    <w:rsid w:val="00480128"/>
    <w:rsid w:val="004825F8"/>
    <w:rsid w:val="004861D2"/>
    <w:rsid w:val="004A0799"/>
    <w:rsid w:val="004A400F"/>
    <w:rsid w:val="004B1E35"/>
    <w:rsid w:val="004C31D8"/>
    <w:rsid w:val="004E1A0E"/>
    <w:rsid w:val="004E2DCA"/>
    <w:rsid w:val="004F1B51"/>
    <w:rsid w:val="004F2006"/>
    <w:rsid w:val="004F59C4"/>
    <w:rsid w:val="004F7ACA"/>
    <w:rsid w:val="0051687B"/>
    <w:rsid w:val="0052570B"/>
    <w:rsid w:val="00526E3C"/>
    <w:rsid w:val="0052756F"/>
    <w:rsid w:val="0052771C"/>
    <w:rsid w:val="00531D22"/>
    <w:rsid w:val="00533BC3"/>
    <w:rsid w:val="0053508D"/>
    <w:rsid w:val="00540271"/>
    <w:rsid w:val="00540E4E"/>
    <w:rsid w:val="005451E4"/>
    <w:rsid w:val="00547D01"/>
    <w:rsid w:val="00561976"/>
    <w:rsid w:val="00561C5A"/>
    <w:rsid w:val="005703AC"/>
    <w:rsid w:val="005803BE"/>
    <w:rsid w:val="00583453"/>
    <w:rsid w:val="005A16A7"/>
    <w:rsid w:val="005A5261"/>
    <w:rsid w:val="005B3A71"/>
    <w:rsid w:val="005B6D78"/>
    <w:rsid w:val="005C0144"/>
    <w:rsid w:val="005C07A2"/>
    <w:rsid w:val="005C0A40"/>
    <w:rsid w:val="005F0407"/>
    <w:rsid w:val="005F1C1E"/>
    <w:rsid w:val="005F34F3"/>
    <w:rsid w:val="006023C7"/>
    <w:rsid w:val="00604352"/>
    <w:rsid w:val="00610AB5"/>
    <w:rsid w:val="0062393F"/>
    <w:rsid w:val="00623A3A"/>
    <w:rsid w:val="00632662"/>
    <w:rsid w:val="006335CD"/>
    <w:rsid w:val="00643626"/>
    <w:rsid w:val="00645DE7"/>
    <w:rsid w:val="00652988"/>
    <w:rsid w:val="0065568C"/>
    <w:rsid w:val="00666601"/>
    <w:rsid w:val="00666723"/>
    <w:rsid w:val="00672A17"/>
    <w:rsid w:val="00672CEA"/>
    <w:rsid w:val="00680708"/>
    <w:rsid w:val="00685DB5"/>
    <w:rsid w:val="0069010E"/>
    <w:rsid w:val="006959F2"/>
    <w:rsid w:val="00697E0F"/>
    <w:rsid w:val="006A0C55"/>
    <w:rsid w:val="006A2402"/>
    <w:rsid w:val="006A266D"/>
    <w:rsid w:val="006A5DD6"/>
    <w:rsid w:val="006B35E0"/>
    <w:rsid w:val="006B39AB"/>
    <w:rsid w:val="006C1669"/>
    <w:rsid w:val="006D43C6"/>
    <w:rsid w:val="006D446A"/>
    <w:rsid w:val="006E1B5E"/>
    <w:rsid w:val="006E1F69"/>
    <w:rsid w:val="006E2783"/>
    <w:rsid w:val="006E2DED"/>
    <w:rsid w:val="006E3DFC"/>
    <w:rsid w:val="006E7E0C"/>
    <w:rsid w:val="006F2AFA"/>
    <w:rsid w:val="006F50DB"/>
    <w:rsid w:val="00702665"/>
    <w:rsid w:val="00705C45"/>
    <w:rsid w:val="0070793E"/>
    <w:rsid w:val="00714837"/>
    <w:rsid w:val="00715772"/>
    <w:rsid w:val="00716423"/>
    <w:rsid w:val="00722799"/>
    <w:rsid w:val="00730BF9"/>
    <w:rsid w:val="00731C80"/>
    <w:rsid w:val="00732FB6"/>
    <w:rsid w:val="00745239"/>
    <w:rsid w:val="0074602A"/>
    <w:rsid w:val="00751C06"/>
    <w:rsid w:val="00753D5A"/>
    <w:rsid w:val="007576E6"/>
    <w:rsid w:val="007612CA"/>
    <w:rsid w:val="007628BC"/>
    <w:rsid w:val="00763402"/>
    <w:rsid w:val="00764F0E"/>
    <w:rsid w:val="00770397"/>
    <w:rsid w:val="00770B11"/>
    <w:rsid w:val="00775E9C"/>
    <w:rsid w:val="00780F0A"/>
    <w:rsid w:val="00782503"/>
    <w:rsid w:val="00797858"/>
    <w:rsid w:val="007A23FE"/>
    <w:rsid w:val="007B462F"/>
    <w:rsid w:val="007C0B43"/>
    <w:rsid w:val="007C1BAD"/>
    <w:rsid w:val="007D1267"/>
    <w:rsid w:val="007E1D00"/>
    <w:rsid w:val="007E4A7A"/>
    <w:rsid w:val="007E6440"/>
    <w:rsid w:val="007E7F6E"/>
    <w:rsid w:val="007F480F"/>
    <w:rsid w:val="007F5FB5"/>
    <w:rsid w:val="007F6782"/>
    <w:rsid w:val="00803A73"/>
    <w:rsid w:val="00810D93"/>
    <w:rsid w:val="00813F2C"/>
    <w:rsid w:val="00820166"/>
    <w:rsid w:val="00825897"/>
    <w:rsid w:val="0082736F"/>
    <w:rsid w:val="008312DE"/>
    <w:rsid w:val="00832AD7"/>
    <w:rsid w:val="008337C9"/>
    <w:rsid w:val="00841267"/>
    <w:rsid w:val="0084141B"/>
    <w:rsid w:val="00851981"/>
    <w:rsid w:val="00853A19"/>
    <w:rsid w:val="00857E67"/>
    <w:rsid w:val="00866776"/>
    <w:rsid w:val="00870B98"/>
    <w:rsid w:val="00871426"/>
    <w:rsid w:val="00882793"/>
    <w:rsid w:val="00886D33"/>
    <w:rsid w:val="008873D3"/>
    <w:rsid w:val="00890774"/>
    <w:rsid w:val="00890C53"/>
    <w:rsid w:val="008937E3"/>
    <w:rsid w:val="008A47DE"/>
    <w:rsid w:val="008B0333"/>
    <w:rsid w:val="008B1060"/>
    <w:rsid w:val="008B37BC"/>
    <w:rsid w:val="008B7A0B"/>
    <w:rsid w:val="008B7ABF"/>
    <w:rsid w:val="008C1560"/>
    <w:rsid w:val="008C3C1F"/>
    <w:rsid w:val="008C7CCD"/>
    <w:rsid w:val="008D416E"/>
    <w:rsid w:val="008D6F5B"/>
    <w:rsid w:val="008E519F"/>
    <w:rsid w:val="008F22DA"/>
    <w:rsid w:val="008F5864"/>
    <w:rsid w:val="008F6AF2"/>
    <w:rsid w:val="00910879"/>
    <w:rsid w:val="00913520"/>
    <w:rsid w:val="00920BEB"/>
    <w:rsid w:val="00921D3B"/>
    <w:rsid w:val="00923481"/>
    <w:rsid w:val="0092557D"/>
    <w:rsid w:val="00925763"/>
    <w:rsid w:val="0093152D"/>
    <w:rsid w:val="00942351"/>
    <w:rsid w:val="0095368E"/>
    <w:rsid w:val="00956CEF"/>
    <w:rsid w:val="009605DC"/>
    <w:rsid w:val="00960BF7"/>
    <w:rsid w:val="00960CF0"/>
    <w:rsid w:val="009635D3"/>
    <w:rsid w:val="009637D5"/>
    <w:rsid w:val="00963AD9"/>
    <w:rsid w:val="00965965"/>
    <w:rsid w:val="009664B8"/>
    <w:rsid w:val="009666EC"/>
    <w:rsid w:val="0097097F"/>
    <w:rsid w:val="00975F62"/>
    <w:rsid w:val="009774EC"/>
    <w:rsid w:val="009806AA"/>
    <w:rsid w:val="0098225F"/>
    <w:rsid w:val="00984308"/>
    <w:rsid w:val="00993584"/>
    <w:rsid w:val="009A10CA"/>
    <w:rsid w:val="009A3A73"/>
    <w:rsid w:val="009A61A9"/>
    <w:rsid w:val="009B2FC9"/>
    <w:rsid w:val="009B73D1"/>
    <w:rsid w:val="009C3053"/>
    <w:rsid w:val="009E514F"/>
    <w:rsid w:val="009E5303"/>
    <w:rsid w:val="009F147E"/>
    <w:rsid w:val="009F6CDE"/>
    <w:rsid w:val="00A01239"/>
    <w:rsid w:val="00A032EC"/>
    <w:rsid w:val="00A07E79"/>
    <w:rsid w:val="00A23735"/>
    <w:rsid w:val="00A352CA"/>
    <w:rsid w:val="00A35710"/>
    <w:rsid w:val="00A40E6B"/>
    <w:rsid w:val="00A5708E"/>
    <w:rsid w:val="00A67FB2"/>
    <w:rsid w:val="00A7260F"/>
    <w:rsid w:val="00A83715"/>
    <w:rsid w:val="00A85AAD"/>
    <w:rsid w:val="00A86BC9"/>
    <w:rsid w:val="00A95458"/>
    <w:rsid w:val="00A95D5C"/>
    <w:rsid w:val="00A96627"/>
    <w:rsid w:val="00AA050A"/>
    <w:rsid w:val="00AA53BF"/>
    <w:rsid w:val="00AB1234"/>
    <w:rsid w:val="00AB3AA3"/>
    <w:rsid w:val="00AB5E41"/>
    <w:rsid w:val="00AB5FDF"/>
    <w:rsid w:val="00AB7D51"/>
    <w:rsid w:val="00AC11B0"/>
    <w:rsid w:val="00AC1791"/>
    <w:rsid w:val="00AD70E0"/>
    <w:rsid w:val="00AD7DDC"/>
    <w:rsid w:val="00AE3055"/>
    <w:rsid w:val="00AF453A"/>
    <w:rsid w:val="00B100A1"/>
    <w:rsid w:val="00B15741"/>
    <w:rsid w:val="00B17AAC"/>
    <w:rsid w:val="00B237DB"/>
    <w:rsid w:val="00B30922"/>
    <w:rsid w:val="00B408E4"/>
    <w:rsid w:val="00B41C3F"/>
    <w:rsid w:val="00B52BA8"/>
    <w:rsid w:val="00B54385"/>
    <w:rsid w:val="00B55B15"/>
    <w:rsid w:val="00B73B0A"/>
    <w:rsid w:val="00B76953"/>
    <w:rsid w:val="00B769A2"/>
    <w:rsid w:val="00B8048E"/>
    <w:rsid w:val="00B80B60"/>
    <w:rsid w:val="00B847B8"/>
    <w:rsid w:val="00B86841"/>
    <w:rsid w:val="00B95943"/>
    <w:rsid w:val="00BA30D7"/>
    <w:rsid w:val="00BA6124"/>
    <w:rsid w:val="00BA61E7"/>
    <w:rsid w:val="00BB055D"/>
    <w:rsid w:val="00BB4590"/>
    <w:rsid w:val="00BC00F5"/>
    <w:rsid w:val="00BC6BE6"/>
    <w:rsid w:val="00BD7A0C"/>
    <w:rsid w:val="00BE1CEC"/>
    <w:rsid w:val="00BF0F49"/>
    <w:rsid w:val="00BF1280"/>
    <w:rsid w:val="00BF2835"/>
    <w:rsid w:val="00BF336E"/>
    <w:rsid w:val="00BF4377"/>
    <w:rsid w:val="00BF6D14"/>
    <w:rsid w:val="00C06A54"/>
    <w:rsid w:val="00C06AF5"/>
    <w:rsid w:val="00C079DA"/>
    <w:rsid w:val="00C1086B"/>
    <w:rsid w:val="00C162AF"/>
    <w:rsid w:val="00C2440B"/>
    <w:rsid w:val="00C25E96"/>
    <w:rsid w:val="00C343EC"/>
    <w:rsid w:val="00C4358E"/>
    <w:rsid w:val="00C438AD"/>
    <w:rsid w:val="00C52B6C"/>
    <w:rsid w:val="00C536FC"/>
    <w:rsid w:val="00C53C6F"/>
    <w:rsid w:val="00C70E1F"/>
    <w:rsid w:val="00C7557B"/>
    <w:rsid w:val="00C83076"/>
    <w:rsid w:val="00C83310"/>
    <w:rsid w:val="00C8433A"/>
    <w:rsid w:val="00C924F9"/>
    <w:rsid w:val="00CA0079"/>
    <w:rsid w:val="00CA43DB"/>
    <w:rsid w:val="00CA5C07"/>
    <w:rsid w:val="00CB19BE"/>
    <w:rsid w:val="00CB5E44"/>
    <w:rsid w:val="00CB6B29"/>
    <w:rsid w:val="00CB79D8"/>
    <w:rsid w:val="00CC56DA"/>
    <w:rsid w:val="00CC712C"/>
    <w:rsid w:val="00CD4EFF"/>
    <w:rsid w:val="00CE06D7"/>
    <w:rsid w:val="00CE2A10"/>
    <w:rsid w:val="00CF07DA"/>
    <w:rsid w:val="00D001DF"/>
    <w:rsid w:val="00D01C53"/>
    <w:rsid w:val="00D01E5E"/>
    <w:rsid w:val="00D14A9C"/>
    <w:rsid w:val="00D15DB6"/>
    <w:rsid w:val="00D27F94"/>
    <w:rsid w:val="00D301BE"/>
    <w:rsid w:val="00D313C6"/>
    <w:rsid w:val="00D40472"/>
    <w:rsid w:val="00D40A03"/>
    <w:rsid w:val="00D441AF"/>
    <w:rsid w:val="00D472C2"/>
    <w:rsid w:val="00D47953"/>
    <w:rsid w:val="00D53571"/>
    <w:rsid w:val="00D560B1"/>
    <w:rsid w:val="00D568C5"/>
    <w:rsid w:val="00D60670"/>
    <w:rsid w:val="00D61806"/>
    <w:rsid w:val="00D65F69"/>
    <w:rsid w:val="00D706AA"/>
    <w:rsid w:val="00D70ABE"/>
    <w:rsid w:val="00D74FDA"/>
    <w:rsid w:val="00D80959"/>
    <w:rsid w:val="00D82333"/>
    <w:rsid w:val="00D87495"/>
    <w:rsid w:val="00D94E65"/>
    <w:rsid w:val="00D95237"/>
    <w:rsid w:val="00D96AF3"/>
    <w:rsid w:val="00D972A8"/>
    <w:rsid w:val="00DA36F2"/>
    <w:rsid w:val="00DA775F"/>
    <w:rsid w:val="00DA7C8C"/>
    <w:rsid w:val="00DB007B"/>
    <w:rsid w:val="00DB382F"/>
    <w:rsid w:val="00DB5B9E"/>
    <w:rsid w:val="00DB68B3"/>
    <w:rsid w:val="00DC261D"/>
    <w:rsid w:val="00DD0758"/>
    <w:rsid w:val="00DD1B8D"/>
    <w:rsid w:val="00DD2E96"/>
    <w:rsid w:val="00DD781C"/>
    <w:rsid w:val="00DE052B"/>
    <w:rsid w:val="00DE2BAF"/>
    <w:rsid w:val="00DE78A4"/>
    <w:rsid w:val="00DF12CD"/>
    <w:rsid w:val="00E00703"/>
    <w:rsid w:val="00E01AE6"/>
    <w:rsid w:val="00E03072"/>
    <w:rsid w:val="00E06089"/>
    <w:rsid w:val="00E16052"/>
    <w:rsid w:val="00E16D92"/>
    <w:rsid w:val="00E21AF6"/>
    <w:rsid w:val="00E270E5"/>
    <w:rsid w:val="00E37EFA"/>
    <w:rsid w:val="00E4505C"/>
    <w:rsid w:val="00E544E1"/>
    <w:rsid w:val="00E54A3F"/>
    <w:rsid w:val="00E572C8"/>
    <w:rsid w:val="00E62777"/>
    <w:rsid w:val="00E6285F"/>
    <w:rsid w:val="00E66821"/>
    <w:rsid w:val="00E70310"/>
    <w:rsid w:val="00E76FAE"/>
    <w:rsid w:val="00E8008C"/>
    <w:rsid w:val="00E869D9"/>
    <w:rsid w:val="00E87490"/>
    <w:rsid w:val="00E90232"/>
    <w:rsid w:val="00E96E74"/>
    <w:rsid w:val="00EB06A9"/>
    <w:rsid w:val="00EB0B56"/>
    <w:rsid w:val="00EB2B75"/>
    <w:rsid w:val="00EB3B29"/>
    <w:rsid w:val="00EC17B5"/>
    <w:rsid w:val="00EC6EC1"/>
    <w:rsid w:val="00ED3D02"/>
    <w:rsid w:val="00EE0CA0"/>
    <w:rsid w:val="00EE4C66"/>
    <w:rsid w:val="00EE60C2"/>
    <w:rsid w:val="00EE6C14"/>
    <w:rsid w:val="00EF67A1"/>
    <w:rsid w:val="00F115AD"/>
    <w:rsid w:val="00F33977"/>
    <w:rsid w:val="00F37C22"/>
    <w:rsid w:val="00F42E46"/>
    <w:rsid w:val="00F44100"/>
    <w:rsid w:val="00F4552B"/>
    <w:rsid w:val="00F600DE"/>
    <w:rsid w:val="00F61D21"/>
    <w:rsid w:val="00F72B76"/>
    <w:rsid w:val="00F75192"/>
    <w:rsid w:val="00F9522B"/>
    <w:rsid w:val="00F978E9"/>
    <w:rsid w:val="00FA04DC"/>
    <w:rsid w:val="00FA5DCB"/>
    <w:rsid w:val="00FB0C0B"/>
    <w:rsid w:val="00FB604A"/>
    <w:rsid w:val="00FC379F"/>
    <w:rsid w:val="00FD3BDF"/>
    <w:rsid w:val="00FD4A8E"/>
    <w:rsid w:val="00FD64D2"/>
    <w:rsid w:val="00FE6218"/>
    <w:rsid w:val="00FF5E1A"/>
    <w:rsid w:val="00FF6A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B11"/>
    <w:rPr>
      <w:sz w:val="24"/>
      <w:szCs w:val="24"/>
      <w:lang w:val="en-US" w:eastAsia="en-US"/>
    </w:rPr>
  </w:style>
  <w:style w:type="paragraph" w:styleId="Ttulo1">
    <w:name w:val="heading 1"/>
    <w:aliases w:val="SPIE Section"/>
    <w:basedOn w:val="Normal"/>
    <w:next w:val="Normal"/>
    <w:autoRedefine/>
    <w:qFormat/>
    <w:rsid w:val="00A67FB2"/>
    <w:pPr>
      <w:keepNext/>
      <w:numPr>
        <w:numId w:val="3"/>
      </w:numPr>
      <w:spacing w:before="240" w:after="120"/>
      <w:ind w:left="357" w:hanging="357"/>
      <w:jc w:val="center"/>
      <w:outlineLvl w:val="0"/>
    </w:pPr>
    <w:rPr>
      <w:rFonts w:cs="Arial"/>
      <w:b/>
      <w:bCs/>
      <w:caps/>
      <w:kern w:val="32"/>
    </w:rPr>
  </w:style>
  <w:style w:type="paragraph" w:styleId="Ttulo2">
    <w:name w:val="heading 2"/>
    <w:aliases w:val="SPIE Subsection"/>
    <w:basedOn w:val="Ttulo1"/>
    <w:next w:val="SPIEbodytext"/>
    <w:autoRedefine/>
    <w:qFormat/>
    <w:rsid w:val="001A3D1F"/>
    <w:pPr>
      <w:numPr>
        <w:ilvl w:val="1"/>
      </w:numPr>
      <w:tabs>
        <w:tab w:val="left" w:pos="504"/>
      </w:tabs>
      <w:spacing w:before="120"/>
      <w:ind w:left="357" w:hanging="357"/>
      <w:jc w:val="both"/>
      <w:outlineLvl w:val="1"/>
    </w:pPr>
    <w:rPr>
      <w:caps w:val="0"/>
      <w:sz w:val="20"/>
      <w:szCs w:val="20"/>
    </w:rPr>
  </w:style>
  <w:style w:type="paragraph" w:styleId="Ttulo3">
    <w:name w:val="heading 3"/>
    <w:basedOn w:val="Normal"/>
    <w:next w:val="Normal"/>
    <w:qFormat/>
    <w:rsid w:val="000005B8"/>
    <w:pPr>
      <w:keepNext/>
      <w:outlineLvl w:val="2"/>
    </w:pPr>
    <w:rPr>
      <w:rFonts w:ascii="Times" w:hAnsi="Times"/>
      <w:b/>
      <w:sz w:val="22"/>
      <w:szCs w:val="20"/>
    </w:rPr>
  </w:style>
  <w:style w:type="paragraph" w:styleId="Ttulo4">
    <w:name w:val="heading 4"/>
    <w:basedOn w:val="Normal"/>
    <w:next w:val="Normal"/>
    <w:qFormat/>
    <w:rsid w:val="00DA775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770B11"/>
    <w:rPr>
      <w:rFonts w:ascii="NewsGoth BT" w:hAnsi="NewsGoth BT"/>
      <w:sz w:val="20"/>
      <w:szCs w:val="20"/>
    </w:rPr>
  </w:style>
  <w:style w:type="character" w:styleId="Hyperlink">
    <w:name w:val="Hyperlink"/>
    <w:basedOn w:val="Fontepargpadro"/>
    <w:rsid w:val="00770B11"/>
    <w:rPr>
      <w:color w:val="0000FF"/>
      <w:u w:val="single"/>
    </w:rPr>
  </w:style>
  <w:style w:type="paragraph" w:styleId="Cabealho">
    <w:name w:val="header"/>
    <w:basedOn w:val="Normal"/>
    <w:semiHidden/>
    <w:rsid w:val="00770B11"/>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rsid w:val="00770B11"/>
    <w:pPr>
      <w:jc w:val="center"/>
    </w:pPr>
    <w:rPr>
      <w:b/>
      <w:sz w:val="32"/>
      <w:szCs w:val="20"/>
    </w:rPr>
  </w:style>
  <w:style w:type="paragraph" w:customStyle="1" w:styleId="BodyofPaper">
    <w:name w:val="*Body of Paper*"/>
    <w:basedOn w:val="Normal"/>
    <w:link w:val="BodyofPaperChar"/>
    <w:rsid w:val="00770B11"/>
    <w:pPr>
      <w:jc w:val="both"/>
    </w:pPr>
    <w:rPr>
      <w:sz w:val="20"/>
      <w:szCs w:val="20"/>
    </w:rPr>
  </w:style>
  <w:style w:type="character" w:customStyle="1" w:styleId="BodyofPaperChar">
    <w:name w:val="*Body of Paper* Char"/>
    <w:basedOn w:val="Fontepargpadro"/>
    <w:link w:val="BodyofPaper"/>
    <w:rsid w:val="00EE6C14"/>
    <w:rPr>
      <w:lang w:val="en-US" w:eastAsia="en-US" w:bidi="ar-SA"/>
    </w:rPr>
  </w:style>
  <w:style w:type="character" w:customStyle="1" w:styleId="PaperTitleChar">
    <w:name w:val="*Paper Title* Char"/>
    <w:basedOn w:val="Fontepargpadro"/>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rsid w:val="00770B11"/>
    <w:pPr>
      <w:jc w:val="center"/>
    </w:pPr>
    <w:rPr>
      <w:sz w:val="24"/>
    </w:rPr>
  </w:style>
  <w:style w:type="character" w:customStyle="1" w:styleId="SPIEAuthors-AffilsCharChar">
    <w:name w:val="SPIE Authors-Affils Char Char"/>
    <w:basedOn w:val="BodyofPaperChar"/>
    <w:link w:val="SPIEAuthors-Affils"/>
    <w:rsid w:val="00BC6BE6"/>
    <w:rPr>
      <w:sz w:val="24"/>
    </w:rPr>
  </w:style>
  <w:style w:type="paragraph" w:customStyle="1" w:styleId="PrincipalHding">
    <w:name w:val="*Principal Hding*"/>
    <w:basedOn w:val="Normal"/>
    <w:next w:val="BodyofPaper"/>
    <w:link w:val="PrincipalHdingChar"/>
    <w:semiHidden/>
    <w:rsid w:val="00770B11"/>
    <w:pPr>
      <w:jc w:val="center"/>
    </w:pPr>
    <w:rPr>
      <w:b/>
      <w:caps/>
      <w:sz w:val="22"/>
      <w:szCs w:val="20"/>
    </w:rPr>
  </w:style>
  <w:style w:type="character" w:customStyle="1" w:styleId="PrincipalHdingChar">
    <w:name w:val="*Principal Hding* Char"/>
    <w:basedOn w:val="Fontepargpadro"/>
    <w:link w:val="PrincipalHding"/>
    <w:rsid w:val="00CD4EFF"/>
    <w:rPr>
      <w:b/>
      <w:caps/>
      <w:sz w:val="22"/>
      <w:lang w:val="en-US" w:eastAsia="en-US" w:bidi="ar-SA"/>
    </w:rPr>
  </w:style>
  <w:style w:type="paragraph" w:customStyle="1" w:styleId="Keywords">
    <w:name w:val="*Keywords*"/>
    <w:basedOn w:val="BodyofPaper"/>
    <w:next w:val="BodyofPaper"/>
    <w:rsid w:val="00770B11"/>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basedOn w:val="Fontepargpadro"/>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basedOn w:val="BodyofPaperChar"/>
    <w:link w:val="SPIEfigurecaption"/>
    <w:rsid w:val="000166EA"/>
    <w:rPr>
      <w:sz w:val="18"/>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Rodap">
    <w:name w:val="footer"/>
    <w:basedOn w:val="Normal"/>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style>
  <w:style w:type="paragraph" w:styleId="Textodebalo">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Refdecomentrio">
    <w:name w:val="annotation reference"/>
    <w:basedOn w:val="Fontepargpadro"/>
    <w:semiHidden/>
    <w:rsid w:val="0019055E"/>
    <w:rPr>
      <w:sz w:val="16"/>
      <w:szCs w:val="16"/>
    </w:rPr>
  </w:style>
  <w:style w:type="paragraph" w:styleId="Textodecomentrio">
    <w:name w:val="annotation text"/>
    <w:basedOn w:val="Normal"/>
    <w:semiHidden/>
    <w:rsid w:val="0019055E"/>
    <w:rPr>
      <w:sz w:val="20"/>
      <w:szCs w:val="20"/>
    </w:rPr>
  </w:style>
  <w:style w:type="paragraph" w:styleId="Assuntodocomentrio">
    <w:name w:val="annotation subject"/>
    <w:basedOn w:val="Textodecomentrio"/>
    <w:next w:val="Textodecomentrio"/>
    <w:semiHidden/>
    <w:rsid w:val="0019055E"/>
    <w:rPr>
      <w:b/>
      <w:bCs/>
    </w:rPr>
  </w:style>
  <w:style w:type="character" w:customStyle="1" w:styleId="body31">
    <w:name w:val="body31"/>
    <w:basedOn w:val="Fontepargpadro"/>
    <w:rsid w:val="00FE6218"/>
    <w:rPr>
      <w:rFonts w:ascii="Verdana" w:hAnsi="Verdana" w:hint="default"/>
      <w:color w:val="000000"/>
      <w:sz w:val="13"/>
      <w:szCs w:val="13"/>
    </w:rPr>
  </w:style>
  <w:style w:type="character" w:styleId="Forte">
    <w:name w:val="Strong"/>
    <w:basedOn w:val="Fontepargpadro"/>
    <w:qFormat/>
    <w:rsid w:val="00FE6218"/>
    <w:rPr>
      <w:b/>
      <w:bCs/>
    </w:rPr>
  </w:style>
  <w:style w:type="paragraph" w:styleId="MapadoDocumento">
    <w:name w:val="Document Map"/>
    <w:basedOn w:val="Normal"/>
    <w:semiHidden/>
    <w:rsid w:val="0097097F"/>
    <w:pPr>
      <w:shd w:val="clear" w:color="auto" w:fill="000080"/>
      <w:autoSpaceDE w:val="0"/>
      <w:autoSpaceDN w:val="0"/>
    </w:pPr>
    <w:rPr>
      <w:rFonts w:ascii="Tahoma" w:hAnsi="Tahoma" w:cs="Tahoma"/>
      <w:sz w:val="20"/>
      <w:szCs w:val="20"/>
    </w:rPr>
  </w:style>
  <w:style w:type="table" w:styleId="Tabelacomgrade">
    <w:name w:val="Table Grid"/>
    <w:basedOn w:val="Tabelanormal"/>
    <w:rsid w:val="00853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Reference">
    <w:name w:val="MC Reference"/>
    <w:basedOn w:val="Normal"/>
    <w:rsid w:val="0043730A"/>
    <w:rPr>
      <w:sz w:val="16"/>
      <w:szCs w:val="20"/>
    </w:rPr>
  </w:style>
  <w:style w:type="paragraph" w:customStyle="1" w:styleId="References">
    <w:name w:val="References"/>
    <w:basedOn w:val="Normal"/>
    <w:rsid w:val="00330B5F"/>
    <w:pPr>
      <w:numPr>
        <w:numId w:val="10"/>
      </w:numPr>
      <w:autoSpaceDE w:val="0"/>
      <w:autoSpaceDN w:val="0"/>
      <w:jc w:val="both"/>
    </w:pPr>
    <w:rPr>
      <w:sz w:val="16"/>
      <w:szCs w:val="16"/>
    </w:rPr>
  </w:style>
  <w:style w:type="paragraph" w:customStyle="1" w:styleId="ReferenceNums">
    <w:name w:val="*Reference Nums*"/>
    <w:basedOn w:val="Normal"/>
    <w:rsid w:val="00D95237"/>
    <w:pPr>
      <w:overflowPunct w:val="0"/>
      <w:autoSpaceDE w:val="0"/>
      <w:autoSpaceDN w:val="0"/>
      <w:adjustRightInd w:val="0"/>
      <w:ind w:left="360" w:hanging="360"/>
      <w:textAlignment w:val="baseline"/>
    </w:pPr>
    <w:rPr>
      <w:sz w:val="20"/>
      <w:szCs w:val="20"/>
    </w:rPr>
  </w:style>
  <w:style w:type="paragraph" w:styleId="Legenda">
    <w:name w:val="caption"/>
    <w:basedOn w:val="Normal"/>
    <w:next w:val="Normal"/>
    <w:qFormat/>
    <w:rsid w:val="00871426"/>
    <w:rPr>
      <w:b/>
      <w:bCs/>
      <w:sz w:val="20"/>
      <w:szCs w:val="20"/>
    </w:rPr>
  </w:style>
  <w:style w:type="paragraph" w:styleId="NormalWeb">
    <w:name w:val="Normal (Web)"/>
    <w:basedOn w:val="Normal"/>
    <w:rsid w:val="006E7E0C"/>
    <w:pPr>
      <w:spacing w:before="100" w:beforeAutospacing="1" w:after="100" w:afterAutospacing="1"/>
    </w:pPr>
    <w:rPr>
      <w:color w:val="000000"/>
      <w:lang w:val="en-GB"/>
    </w:rPr>
  </w:style>
</w:styles>
</file>

<file path=word/webSettings.xml><?xml version="1.0" encoding="utf-8"?>
<w:webSettings xmlns:r="http://schemas.openxmlformats.org/officeDocument/2006/relationships" xmlns:w="http://schemas.openxmlformats.org/wordprocessingml/2006/main">
  <w:divs>
    <w:div w:id="935016869">
      <w:bodyDiv w:val="1"/>
      <w:marLeft w:val="0"/>
      <w:marRight w:val="0"/>
      <w:marTop w:val="0"/>
      <w:marBottom w:val="0"/>
      <w:divBdr>
        <w:top w:val="none" w:sz="0" w:space="0" w:color="auto"/>
        <w:left w:val="none" w:sz="0" w:space="0" w:color="auto"/>
        <w:bottom w:val="none" w:sz="0" w:space="0" w:color="auto"/>
        <w:right w:val="none" w:sz="0" w:space="0" w:color="auto"/>
      </w:divBdr>
    </w:div>
    <w:div w:id="1146819813">
      <w:bodyDiv w:val="1"/>
      <w:marLeft w:val="0"/>
      <w:marRight w:val="0"/>
      <w:marTop w:val="0"/>
      <w:marBottom w:val="0"/>
      <w:divBdr>
        <w:top w:val="none" w:sz="0" w:space="0" w:color="auto"/>
        <w:left w:val="none" w:sz="0" w:space="0" w:color="auto"/>
        <w:bottom w:val="none" w:sz="0" w:space="0" w:color="auto"/>
        <w:right w:val="none" w:sz="0" w:space="0" w:color="auto"/>
      </w:divBdr>
    </w:div>
    <w:div w:id="12720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2340</Words>
  <Characters>12639</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Sample manuscript showing specifications and style</vt:lpstr>
      <vt:lpstr>Sample manuscript showing specifications and style</vt:lpstr>
    </vt:vector>
  </TitlesOfParts>
  <Company>SPIE</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Nayanne Satie Moritsuka</cp:lastModifiedBy>
  <cp:revision>2</cp:revision>
  <cp:lastPrinted>2010-05-03T14:42:00Z</cp:lastPrinted>
  <dcterms:created xsi:type="dcterms:W3CDTF">2010-07-12T12:34:00Z</dcterms:created>
  <dcterms:modified xsi:type="dcterms:W3CDTF">2010-07-12T12:34:00Z</dcterms:modified>
</cp:coreProperties>
</file>